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5C666" w14:textId="4C654D09" w:rsidR="00F26778" w:rsidRDefault="009043F7" w:rsidP="00F26778">
      <w:pPr>
        <w:jc w:val="center"/>
        <w:rPr>
          <w:b/>
          <w:sz w:val="32"/>
          <w:szCs w:val="32"/>
        </w:rPr>
      </w:pPr>
      <w:r w:rsidRPr="006177DF">
        <w:rPr>
          <w:b/>
          <w:sz w:val="28"/>
          <w:szCs w:val="28"/>
        </w:rPr>
        <w:t>AVIS D’APPEL D’OFFRES</w:t>
      </w:r>
      <w:r>
        <w:rPr>
          <w:b/>
          <w:sz w:val="32"/>
          <w:szCs w:val="32"/>
        </w:rPr>
        <w:t xml:space="preserve"> </w:t>
      </w:r>
      <w:r w:rsidR="00F26778" w:rsidRPr="00F125B6">
        <w:rPr>
          <w:b/>
          <w:sz w:val="32"/>
          <w:szCs w:val="32"/>
        </w:rPr>
        <w:t>N°</w:t>
      </w:r>
      <w:r w:rsidR="0092499A">
        <w:rPr>
          <w:b/>
          <w:sz w:val="32"/>
          <w:szCs w:val="32"/>
        </w:rPr>
        <w:t>40</w:t>
      </w:r>
      <w:r w:rsidR="00F26778" w:rsidRPr="00F125B6">
        <w:rPr>
          <w:b/>
          <w:sz w:val="32"/>
          <w:szCs w:val="32"/>
        </w:rPr>
        <w:t>/2024/</w:t>
      </w:r>
      <w:r w:rsidR="0092499A">
        <w:rPr>
          <w:b/>
          <w:sz w:val="32"/>
          <w:szCs w:val="32"/>
        </w:rPr>
        <w:t>S</w:t>
      </w:r>
      <w:r w:rsidR="00F26778" w:rsidRPr="00F125B6">
        <w:rPr>
          <w:b/>
          <w:sz w:val="32"/>
          <w:szCs w:val="32"/>
        </w:rPr>
        <w:t>/AON/</w:t>
      </w:r>
      <w:r w:rsidR="0092499A">
        <w:rPr>
          <w:b/>
          <w:sz w:val="32"/>
          <w:szCs w:val="32"/>
        </w:rPr>
        <w:t>FM</w:t>
      </w:r>
      <w:r w:rsidR="00F26778" w:rsidRPr="00F125B6">
        <w:rPr>
          <w:b/>
          <w:sz w:val="32"/>
          <w:szCs w:val="32"/>
        </w:rPr>
        <w:t>/UAGCP</w:t>
      </w:r>
    </w:p>
    <w:p w14:paraId="42AAC7A2" w14:textId="77777777" w:rsidR="00100D2D" w:rsidRPr="00F125B6" w:rsidRDefault="00100D2D" w:rsidP="00F26778">
      <w:pPr>
        <w:jc w:val="center"/>
        <w:rPr>
          <w:b/>
          <w:sz w:val="32"/>
          <w:szCs w:val="32"/>
        </w:rPr>
      </w:pPr>
    </w:p>
    <w:p w14:paraId="555470B3" w14:textId="1D4BE142" w:rsidR="00100D2D" w:rsidRDefault="0092499A" w:rsidP="00587645">
      <w:pPr>
        <w:pBdr>
          <w:bottom w:val="single" w:sz="6" w:space="0" w:color="auto"/>
        </w:pBdr>
        <w:jc w:val="center"/>
        <w:rPr>
          <w:b/>
          <w:sz w:val="28"/>
          <w:szCs w:val="28"/>
        </w:rPr>
      </w:pPr>
      <w:bookmarkStart w:id="0" w:name="_Hlk180743253"/>
      <w:r>
        <w:rPr>
          <w:b/>
          <w:sz w:val="28"/>
          <w:szCs w:val="28"/>
        </w:rPr>
        <w:t xml:space="preserve">RECRUTEMENT D’UNE ENTREPRISE </w:t>
      </w:r>
      <w:r w:rsidR="005459A7">
        <w:rPr>
          <w:b/>
          <w:sz w:val="28"/>
          <w:szCs w:val="28"/>
        </w:rPr>
        <w:t xml:space="preserve">POUR ASSURER LES SERVICES </w:t>
      </w:r>
      <w:r>
        <w:rPr>
          <w:b/>
          <w:sz w:val="28"/>
          <w:szCs w:val="28"/>
        </w:rPr>
        <w:t xml:space="preserve">DE GARDIENNAGE DES UNITES DE TRAITEMENT DES DECHETS BIOMEDICAUX (SITES </w:t>
      </w:r>
      <w:r w:rsidR="00117BE4">
        <w:rPr>
          <w:b/>
          <w:sz w:val="28"/>
          <w:szCs w:val="28"/>
        </w:rPr>
        <w:t xml:space="preserve">D’INCINERATION) ET DES CENTRALES A OXYGENE </w:t>
      </w:r>
      <w:r>
        <w:rPr>
          <w:b/>
          <w:sz w:val="28"/>
          <w:szCs w:val="28"/>
        </w:rPr>
        <w:t>DANS LES HUIT (8) REGIONS SANITAIRES</w:t>
      </w:r>
    </w:p>
    <w:bookmarkEnd w:id="0"/>
    <w:p w14:paraId="76589C15" w14:textId="77777777" w:rsidR="00336C4E" w:rsidRPr="002068EC" w:rsidRDefault="00336C4E" w:rsidP="00336C4E">
      <w:pPr>
        <w:jc w:val="both"/>
        <w:rPr>
          <w:b/>
          <w:bCs/>
        </w:rPr>
      </w:pPr>
    </w:p>
    <w:p w14:paraId="6B9BCC45" w14:textId="7A14D1A0" w:rsidR="00BF7D5A" w:rsidRDefault="000730F9" w:rsidP="00BF7D5A">
      <w:pPr>
        <w:numPr>
          <w:ilvl w:val="0"/>
          <w:numId w:val="1"/>
        </w:numPr>
        <w:spacing w:after="200"/>
        <w:ind w:left="426" w:hanging="426"/>
        <w:jc w:val="both"/>
        <w:rPr>
          <w:sz w:val="22"/>
          <w:szCs w:val="22"/>
        </w:rPr>
      </w:pPr>
      <w:r w:rsidRPr="000730F9">
        <w:rPr>
          <w:sz w:val="22"/>
          <w:szCs w:val="22"/>
        </w:rPr>
        <w:t xml:space="preserve">L’Unité d’Appui à la Gestion et à la Coordination des Programmes (UAGCP) du ministère de la Santé et de l’Hygiène Publique, lance un appel d’offres national </w:t>
      </w:r>
      <w:r w:rsidR="0092499A" w:rsidRPr="0092499A">
        <w:rPr>
          <w:sz w:val="22"/>
          <w:szCs w:val="22"/>
        </w:rPr>
        <w:t>N°40/2024/S/AON/FM/UAGCP</w:t>
      </w:r>
      <w:r w:rsidR="0092499A" w:rsidRPr="000730F9">
        <w:rPr>
          <w:sz w:val="22"/>
          <w:szCs w:val="22"/>
        </w:rPr>
        <w:t xml:space="preserve"> </w:t>
      </w:r>
      <w:r w:rsidRPr="000730F9">
        <w:rPr>
          <w:sz w:val="22"/>
          <w:szCs w:val="22"/>
        </w:rPr>
        <w:t xml:space="preserve">relatif </w:t>
      </w:r>
      <w:r w:rsidR="0092499A">
        <w:rPr>
          <w:sz w:val="22"/>
          <w:szCs w:val="22"/>
        </w:rPr>
        <w:t xml:space="preserve">au recrutement d’une entreprise </w:t>
      </w:r>
      <w:r w:rsidR="005459A7">
        <w:rPr>
          <w:sz w:val="22"/>
          <w:szCs w:val="22"/>
        </w:rPr>
        <w:t xml:space="preserve">pour assurer les services </w:t>
      </w:r>
      <w:r w:rsidR="0092499A">
        <w:rPr>
          <w:sz w:val="22"/>
          <w:szCs w:val="22"/>
        </w:rPr>
        <w:t>de gardiennage des unités de traitement des déchets biomédicaux (sites d’incinération</w:t>
      </w:r>
      <w:r w:rsidR="00676FE3">
        <w:rPr>
          <w:sz w:val="22"/>
          <w:szCs w:val="22"/>
        </w:rPr>
        <w:t xml:space="preserve"> des déchets</w:t>
      </w:r>
      <w:r w:rsidR="0092499A">
        <w:rPr>
          <w:sz w:val="22"/>
          <w:szCs w:val="22"/>
        </w:rPr>
        <w:t>)</w:t>
      </w:r>
      <w:r w:rsidR="00101643">
        <w:rPr>
          <w:sz w:val="22"/>
          <w:szCs w:val="22"/>
        </w:rPr>
        <w:t xml:space="preserve"> </w:t>
      </w:r>
      <w:r w:rsidR="00117BE4">
        <w:rPr>
          <w:sz w:val="22"/>
          <w:szCs w:val="22"/>
        </w:rPr>
        <w:t xml:space="preserve">et des centrales à oxygène </w:t>
      </w:r>
      <w:r w:rsidR="00101643">
        <w:rPr>
          <w:sz w:val="22"/>
          <w:szCs w:val="22"/>
        </w:rPr>
        <w:t xml:space="preserve">dans les huit (8) régions sanitaires de </w:t>
      </w:r>
      <w:r w:rsidR="00914ADD">
        <w:rPr>
          <w:sz w:val="22"/>
          <w:szCs w:val="22"/>
        </w:rPr>
        <w:t>Conakry</w:t>
      </w:r>
      <w:r w:rsidR="00914ADD">
        <w:rPr>
          <w:sz w:val="22"/>
          <w:szCs w:val="22"/>
        </w:rPr>
        <w:t xml:space="preserve">, </w:t>
      </w:r>
      <w:r w:rsidR="00101643">
        <w:rPr>
          <w:sz w:val="22"/>
          <w:szCs w:val="22"/>
        </w:rPr>
        <w:t>Boké, Kindia, Labé, Mamou, Kankan, Faranah et N’Zérékoré.</w:t>
      </w:r>
    </w:p>
    <w:p w14:paraId="77854639" w14:textId="32B90A16" w:rsidR="00914ADD" w:rsidRDefault="007B1CC8" w:rsidP="00117BE4">
      <w:pPr>
        <w:numPr>
          <w:ilvl w:val="0"/>
          <w:numId w:val="1"/>
        </w:numPr>
        <w:spacing w:after="200"/>
        <w:ind w:left="426" w:hanging="426"/>
        <w:jc w:val="both"/>
        <w:rPr>
          <w:sz w:val="22"/>
          <w:szCs w:val="22"/>
        </w:rPr>
      </w:pPr>
      <w:r>
        <w:rPr>
          <w:sz w:val="22"/>
          <w:szCs w:val="22"/>
        </w:rPr>
        <w:t xml:space="preserve">Le marché à concourir est </w:t>
      </w:r>
      <w:r w:rsidR="00914ADD">
        <w:rPr>
          <w:sz w:val="22"/>
          <w:szCs w:val="22"/>
        </w:rPr>
        <w:t>reparti en</w:t>
      </w:r>
      <w:r>
        <w:rPr>
          <w:sz w:val="22"/>
          <w:szCs w:val="22"/>
        </w:rPr>
        <w:t xml:space="preserve"> 8 lots</w:t>
      </w:r>
      <w:r w:rsidR="00117BE4">
        <w:rPr>
          <w:sz w:val="22"/>
          <w:szCs w:val="22"/>
        </w:rPr>
        <w:t xml:space="preserve"> </w:t>
      </w:r>
      <w:r w:rsidR="00914ADD">
        <w:rPr>
          <w:sz w:val="22"/>
          <w:szCs w:val="22"/>
        </w:rPr>
        <w:t>comme suit</w:t>
      </w:r>
    </w:p>
    <w:p w14:paraId="64407634" w14:textId="0BBAEFF3" w:rsidR="00914ADD" w:rsidRDefault="00914ADD" w:rsidP="00914ADD">
      <w:pPr>
        <w:ind w:left="426"/>
        <w:jc w:val="both"/>
        <w:rPr>
          <w:sz w:val="22"/>
          <w:szCs w:val="22"/>
        </w:rPr>
      </w:pPr>
      <w:r>
        <w:rPr>
          <w:sz w:val="22"/>
          <w:szCs w:val="22"/>
        </w:rPr>
        <w:t>Lot 1 : Conakry,</w:t>
      </w:r>
    </w:p>
    <w:p w14:paraId="4DB082FE" w14:textId="073BF7A4" w:rsidR="00914ADD" w:rsidRDefault="00914ADD" w:rsidP="00914ADD">
      <w:pPr>
        <w:ind w:left="426"/>
        <w:jc w:val="both"/>
        <w:rPr>
          <w:sz w:val="22"/>
          <w:szCs w:val="22"/>
        </w:rPr>
      </w:pPr>
      <w:r>
        <w:rPr>
          <w:sz w:val="22"/>
          <w:szCs w:val="22"/>
        </w:rPr>
        <w:t>Lot 2 : Boké</w:t>
      </w:r>
    </w:p>
    <w:p w14:paraId="3DCFD688" w14:textId="04DF21C2" w:rsidR="00914ADD" w:rsidRDefault="00914ADD" w:rsidP="00914ADD">
      <w:pPr>
        <w:ind w:left="426"/>
        <w:jc w:val="both"/>
        <w:rPr>
          <w:sz w:val="22"/>
          <w:szCs w:val="22"/>
        </w:rPr>
      </w:pPr>
      <w:r>
        <w:rPr>
          <w:sz w:val="22"/>
          <w:szCs w:val="22"/>
        </w:rPr>
        <w:t>Lot 3 : Kindia</w:t>
      </w:r>
    </w:p>
    <w:p w14:paraId="5C3AC484" w14:textId="6E181798" w:rsidR="00914ADD" w:rsidRDefault="00914ADD" w:rsidP="00914ADD">
      <w:pPr>
        <w:ind w:left="426"/>
        <w:jc w:val="both"/>
        <w:rPr>
          <w:sz w:val="22"/>
          <w:szCs w:val="22"/>
        </w:rPr>
      </w:pPr>
      <w:r>
        <w:rPr>
          <w:sz w:val="22"/>
          <w:szCs w:val="22"/>
        </w:rPr>
        <w:t>Lot 4 : Labé</w:t>
      </w:r>
    </w:p>
    <w:p w14:paraId="2996DA77" w14:textId="0D7A95BD" w:rsidR="00914ADD" w:rsidRDefault="00914ADD" w:rsidP="00914ADD">
      <w:pPr>
        <w:ind w:left="426"/>
        <w:jc w:val="both"/>
        <w:rPr>
          <w:sz w:val="22"/>
          <w:szCs w:val="22"/>
        </w:rPr>
      </w:pPr>
      <w:r>
        <w:rPr>
          <w:sz w:val="22"/>
          <w:szCs w:val="22"/>
        </w:rPr>
        <w:t>Lot 5 : Mamou</w:t>
      </w:r>
    </w:p>
    <w:p w14:paraId="50C3F3E3" w14:textId="30E372FC" w:rsidR="00914ADD" w:rsidRDefault="00914ADD" w:rsidP="00914ADD">
      <w:pPr>
        <w:ind w:left="426"/>
        <w:jc w:val="both"/>
        <w:rPr>
          <w:sz w:val="22"/>
          <w:szCs w:val="22"/>
        </w:rPr>
      </w:pPr>
      <w:r>
        <w:rPr>
          <w:sz w:val="22"/>
          <w:szCs w:val="22"/>
        </w:rPr>
        <w:t>Lot 6 : Kankan</w:t>
      </w:r>
    </w:p>
    <w:p w14:paraId="579D1FE6" w14:textId="1B4411B0" w:rsidR="00914ADD" w:rsidRDefault="00914ADD" w:rsidP="00914ADD">
      <w:pPr>
        <w:ind w:left="426"/>
        <w:jc w:val="both"/>
        <w:rPr>
          <w:sz w:val="22"/>
          <w:szCs w:val="22"/>
        </w:rPr>
      </w:pPr>
      <w:r>
        <w:rPr>
          <w:sz w:val="22"/>
          <w:szCs w:val="22"/>
        </w:rPr>
        <w:t>Lot 7 : Faranah</w:t>
      </w:r>
    </w:p>
    <w:p w14:paraId="1C869B09" w14:textId="7F73E8B7" w:rsidR="00914ADD" w:rsidRDefault="00914ADD" w:rsidP="00914ADD">
      <w:pPr>
        <w:ind w:left="426"/>
        <w:jc w:val="both"/>
        <w:rPr>
          <w:sz w:val="22"/>
          <w:szCs w:val="22"/>
        </w:rPr>
      </w:pPr>
      <w:r>
        <w:rPr>
          <w:sz w:val="22"/>
          <w:szCs w:val="22"/>
        </w:rPr>
        <w:t>Lot 8 : N’Zérékoré</w:t>
      </w:r>
    </w:p>
    <w:p w14:paraId="31DD354A" w14:textId="77777777" w:rsidR="00914ADD" w:rsidRDefault="00914ADD" w:rsidP="00914ADD">
      <w:pPr>
        <w:ind w:left="426"/>
        <w:jc w:val="both"/>
        <w:rPr>
          <w:sz w:val="22"/>
          <w:szCs w:val="22"/>
        </w:rPr>
      </w:pPr>
    </w:p>
    <w:p w14:paraId="6A9E3A31" w14:textId="532B5E3D" w:rsidR="00914ADD" w:rsidRPr="00117BE4" w:rsidRDefault="00117BE4" w:rsidP="00914ADD">
      <w:pPr>
        <w:spacing w:after="200"/>
        <w:ind w:left="426"/>
        <w:jc w:val="both"/>
        <w:rPr>
          <w:sz w:val="22"/>
          <w:szCs w:val="22"/>
        </w:rPr>
      </w:pPr>
      <w:r>
        <w:rPr>
          <w:sz w:val="22"/>
          <w:szCs w:val="22"/>
        </w:rPr>
        <w:t xml:space="preserve"> </w:t>
      </w:r>
      <w:r w:rsidR="00914ADD">
        <w:rPr>
          <w:sz w:val="22"/>
          <w:szCs w:val="22"/>
        </w:rPr>
        <w:t>A noter que l</w:t>
      </w:r>
      <w:r>
        <w:rPr>
          <w:sz w:val="22"/>
          <w:szCs w:val="22"/>
        </w:rPr>
        <w:t xml:space="preserve">es régions sanitaires </w:t>
      </w:r>
      <w:r w:rsidRPr="00117BE4">
        <w:rPr>
          <w:sz w:val="22"/>
          <w:szCs w:val="22"/>
        </w:rPr>
        <w:t>de Labé, Kankan et N’Zérékoré abritent chacune deux sites.</w:t>
      </w:r>
    </w:p>
    <w:p w14:paraId="2ABD93D4" w14:textId="4AC182EF" w:rsidR="00914ADD" w:rsidRDefault="00914ADD" w:rsidP="00BF7D5A">
      <w:pPr>
        <w:numPr>
          <w:ilvl w:val="0"/>
          <w:numId w:val="1"/>
        </w:numPr>
        <w:spacing w:after="200"/>
        <w:ind w:left="426" w:hanging="426"/>
        <w:jc w:val="both"/>
        <w:rPr>
          <w:sz w:val="22"/>
          <w:szCs w:val="22"/>
        </w:rPr>
      </w:pPr>
      <w:r>
        <w:rPr>
          <w:sz w:val="22"/>
          <w:szCs w:val="22"/>
        </w:rPr>
        <w:t>Les soumissionnaires sont libres de soumissionner pour un ou tous les lots. Cependant, l’entreprise doit être opérationnel dans la (les) région (s) pour lesquelles elle postule.</w:t>
      </w:r>
    </w:p>
    <w:p w14:paraId="52F86AE0" w14:textId="41CB2E57" w:rsidR="00BF7D5A" w:rsidRPr="00BF7D5A" w:rsidRDefault="00BF7D5A" w:rsidP="00BF7D5A">
      <w:pPr>
        <w:numPr>
          <w:ilvl w:val="0"/>
          <w:numId w:val="1"/>
        </w:numPr>
        <w:spacing w:after="200"/>
        <w:ind w:left="426" w:hanging="426"/>
        <w:jc w:val="both"/>
        <w:rPr>
          <w:sz w:val="22"/>
          <w:szCs w:val="22"/>
        </w:rPr>
      </w:pPr>
      <w:r w:rsidRPr="00BF7D5A">
        <w:rPr>
          <w:sz w:val="22"/>
          <w:szCs w:val="22"/>
        </w:rPr>
        <w:t>L’Unité d’Appui à la Gestion et à la Coordination des Programmes (UAGCP) du ministère de la Santé et de l’Hygiène Publique sollicite des offres fermées de la part de soumissionnaires éligibles et répondant aux qualifications requises pour ce marché</w:t>
      </w:r>
      <w:r w:rsidR="007B1CC8">
        <w:rPr>
          <w:sz w:val="22"/>
          <w:szCs w:val="22"/>
        </w:rPr>
        <w:t>.</w:t>
      </w:r>
    </w:p>
    <w:p w14:paraId="59CF00BC" w14:textId="2F6B6A69" w:rsidR="00BF7D5A" w:rsidRPr="00BF7D5A" w:rsidRDefault="00BF7D5A" w:rsidP="00BF7D5A">
      <w:pPr>
        <w:numPr>
          <w:ilvl w:val="0"/>
          <w:numId w:val="1"/>
        </w:numPr>
        <w:spacing w:after="200"/>
        <w:ind w:left="426" w:hanging="426"/>
        <w:jc w:val="both"/>
        <w:rPr>
          <w:sz w:val="22"/>
          <w:szCs w:val="22"/>
        </w:rPr>
      </w:pPr>
      <w:r w:rsidRPr="00BF7D5A">
        <w:rPr>
          <w:sz w:val="22"/>
          <w:szCs w:val="22"/>
        </w:rPr>
        <w:t xml:space="preserve">Le délai d’exécution </w:t>
      </w:r>
      <w:r w:rsidR="00A44235" w:rsidRPr="00A44235">
        <w:rPr>
          <w:sz w:val="22"/>
          <w:szCs w:val="22"/>
        </w:rPr>
        <w:t xml:space="preserve">est de 1 an renouvelable </w:t>
      </w:r>
      <w:r w:rsidR="00A44235" w:rsidRPr="00A44235">
        <w:rPr>
          <w:b/>
          <w:bCs/>
          <w:sz w:val="22"/>
          <w:szCs w:val="22"/>
        </w:rPr>
        <w:t>sous condition d’évaluation positive par l’autorité contractante</w:t>
      </w:r>
      <w:r w:rsidR="00D66D90">
        <w:rPr>
          <w:b/>
          <w:bCs/>
          <w:sz w:val="22"/>
          <w:szCs w:val="22"/>
        </w:rPr>
        <w:t xml:space="preserve"> et suivant la disponibilité de financement</w:t>
      </w:r>
      <w:r w:rsidR="00A44235" w:rsidRPr="00A44235">
        <w:rPr>
          <w:sz w:val="22"/>
          <w:szCs w:val="22"/>
        </w:rPr>
        <w:t xml:space="preserve">. </w:t>
      </w:r>
      <w:r w:rsidR="00676FE3">
        <w:rPr>
          <w:sz w:val="22"/>
          <w:szCs w:val="22"/>
        </w:rPr>
        <w:t>Le déploiement du prestataire sur chaque site fera objet d’un ordre de service.</w:t>
      </w:r>
    </w:p>
    <w:p w14:paraId="5C4AAC59" w14:textId="59EB0C58" w:rsidR="00BF7D5A" w:rsidRPr="00BF7D5A" w:rsidRDefault="00BF7D5A" w:rsidP="00BF7D5A">
      <w:pPr>
        <w:numPr>
          <w:ilvl w:val="0"/>
          <w:numId w:val="1"/>
        </w:numPr>
        <w:spacing w:before="120" w:after="200"/>
        <w:ind w:left="426" w:hanging="426"/>
        <w:jc w:val="both"/>
        <w:rPr>
          <w:sz w:val="22"/>
          <w:szCs w:val="22"/>
        </w:rPr>
      </w:pPr>
      <w:bookmarkStart w:id="1" w:name="_Hlk180744265"/>
      <w:r w:rsidRPr="00BF7D5A">
        <w:rPr>
          <w:sz w:val="22"/>
          <w:szCs w:val="22"/>
        </w:rPr>
        <w:t>La participation à cet appel d'offres ouvert tel que défini aux articles 23 et suivants du Code des marchés publics guinéens concerne tous les candidats éligibles et remplissant les conditions</w:t>
      </w:r>
      <w:r w:rsidR="00117BE4">
        <w:rPr>
          <w:sz w:val="22"/>
          <w:szCs w:val="22"/>
        </w:rPr>
        <w:t xml:space="preserve"> </w:t>
      </w:r>
      <w:r w:rsidRPr="00BF7D5A">
        <w:rPr>
          <w:sz w:val="22"/>
          <w:szCs w:val="22"/>
        </w:rPr>
        <w:t>définies dans le présent Dossier d'Appel d'Offres Ouvert et qui ne sont pas concernés par un des cas d’inéligibilité prévus à l’article 64 du Code des Marchés Publics.</w:t>
      </w:r>
    </w:p>
    <w:bookmarkEnd w:id="1"/>
    <w:p w14:paraId="37C2ABB9" w14:textId="27278655" w:rsidR="00BF7D5A" w:rsidRPr="00BF7D5A" w:rsidRDefault="00BF7D5A" w:rsidP="00BF7D5A">
      <w:pPr>
        <w:numPr>
          <w:ilvl w:val="0"/>
          <w:numId w:val="1"/>
        </w:numPr>
        <w:spacing w:before="120" w:after="120"/>
        <w:ind w:left="426" w:hanging="426"/>
        <w:jc w:val="both"/>
        <w:rPr>
          <w:sz w:val="22"/>
          <w:szCs w:val="22"/>
        </w:rPr>
      </w:pPr>
      <w:r w:rsidRPr="00BF7D5A">
        <w:rPr>
          <w:sz w:val="22"/>
          <w:szCs w:val="22"/>
        </w:rPr>
        <w:t xml:space="preserve">Le DAO </w:t>
      </w:r>
      <w:r w:rsidR="005459A7">
        <w:rPr>
          <w:sz w:val="22"/>
          <w:szCs w:val="22"/>
        </w:rPr>
        <w:t xml:space="preserve">peut être retiré </w:t>
      </w:r>
      <w:r w:rsidR="00117BE4">
        <w:rPr>
          <w:sz w:val="22"/>
          <w:szCs w:val="22"/>
        </w:rPr>
        <w:t xml:space="preserve">gratuitement </w:t>
      </w:r>
      <w:r w:rsidR="005459A7" w:rsidRPr="005459A7">
        <w:rPr>
          <w:sz w:val="22"/>
          <w:szCs w:val="22"/>
        </w:rPr>
        <w:t>à partir du 3</w:t>
      </w:r>
      <w:r w:rsidR="00117BE4">
        <w:rPr>
          <w:sz w:val="22"/>
          <w:szCs w:val="22"/>
        </w:rPr>
        <w:t>0</w:t>
      </w:r>
      <w:r w:rsidR="005459A7" w:rsidRPr="005459A7">
        <w:rPr>
          <w:sz w:val="22"/>
          <w:szCs w:val="22"/>
        </w:rPr>
        <w:t>/10/2024, au service de Passation de Marchés de l’UAGCP, au 3e étage de l’immeuble Palm Résidence Camayenne, corniche nord, à côté de la clinique Ambroise Paré</w:t>
      </w:r>
      <w:r w:rsidR="00117BE4">
        <w:rPr>
          <w:sz w:val="22"/>
          <w:szCs w:val="22"/>
        </w:rPr>
        <w:t>.</w:t>
      </w:r>
    </w:p>
    <w:p w14:paraId="4242A66F" w14:textId="33AA7C25" w:rsidR="00BF7D5A" w:rsidRPr="00BF7D5A" w:rsidRDefault="00BF7D5A" w:rsidP="00BF7D5A">
      <w:pPr>
        <w:numPr>
          <w:ilvl w:val="0"/>
          <w:numId w:val="1"/>
        </w:numPr>
        <w:spacing w:after="200"/>
        <w:ind w:left="426" w:hanging="426"/>
        <w:jc w:val="both"/>
        <w:rPr>
          <w:sz w:val="22"/>
          <w:szCs w:val="22"/>
        </w:rPr>
      </w:pPr>
      <w:r w:rsidRPr="00BF7D5A">
        <w:rPr>
          <w:sz w:val="22"/>
          <w:szCs w:val="22"/>
        </w:rPr>
        <w:t xml:space="preserve">Les </w:t>
      </w:r>
      <w:r w:rsidR="00950620">
        <w:rPr>
          <w:sz w:val="22"/>
          <w:szCs w:val="22"/>
        </w:rPr>
        <w:t>Candidats</w:t>
      </w:r>
      <w:r w:rsidR="00950620" w:rsidRPr="00BF7D5A">
        <w:rPr>
          <w:sz w:val="22"/>
          <w:szCs w:val="22"/>
        </w:rPr>
        <w:t xml:space="preserve"> </w:t>
      </w:r>
      <w:r w:rsidRPr="00BF7D5A">
        <w:rPr>
          <w:sz w:val="22"/>
          <w:szCs w:val="22"/>
        </w:rPr>
        <w:t xml:space="preserve">intéressés et éligibles peuvent obtenir des informations par mail auprès : </w:t>
      </w:r>
    </w:p>
    <w:p w14:paraId="588503FF" w14:textId="3F0F0C7E" w:rsidR="0001114C" w:rsidRPr="00BF7D5A" w:rsidRDefault="0001114C" w:rsidP="0001114C">
      <w:pPr>
        <w:spacing w:after="200"/>
        <w:jc w:val="both"/>
        <w:rPr>
          <w:b/>
          <w:iCs/>
          <w:sz w:val="22"/>
          <w:szCs w:val="22"/>
        </w:rPr>
      </w:pPr>
      <w:r w:rsidRPr="00BF7D5A">
        <w:rPr>
          <w:b/>
          <w:iCs/>
          <w:sz w:val="22"/>
          <w:szCs w:val="22"/>
        </w:rPr>
        <w:lastRenderedPageBreak/>
        <w:t xml:space="preserve">Contact Email : </w:t>
      </w:r>
      <w:hyperlink r:id="rId7" w:history="1">
        <w:r w:rsidRPr="00BF7D5A">
          <w:rPr>
            <w:rStyle w:val="Lienhypertexte"/>
            <w:sz w:val="22"/>
            <w:szCs w:val="22"/>
          </w:rPr>
          <w:t>tenders.uagcp@gmail.com</w:t>
        </w:r>
      </w:hyperlink>
      <w:r w:rsidRPr="00BF7D5A">
        <w:rPr>
          <w:b/>
          <w:iCs/>
          <w:sz w:val="22"/>
          <w:szCs w:val="22"/>
        </w:rPr>
        <w:t xml:space="preserve"> du lundi au vendredi </w:t>
      </w:r>
      <w:r w:rsidR="005459A7">
        <w:rPr>
          <w:b/>
          <w:iCs/>
          <w:sz w:val="22"/>
          <w:szCs w:val="22"/>
        </w:rPr>
        <w:t>entre</w:t>
      </w:r>
      <w:r w:rsidRPr="00BF7D5A">
        <w:rPr>
          <w:b/>
          <w:iCs/>
          <w:sz w:val="22"/>
          <w:szCs w:val="22"/>
        </w:rPr>
        <w:t xml:space="preserve"> 8 heures 30 minutes à 16 heures 30 minutes TU</w:t>
      </w:r>
      <w:r w:rsidRPr="00BF7D5A">
        <w:rPr>
          <w:sz w:val="22"/>
          <w:szCs w:val="22"/>
        </w:rPr>
        <w:t>.</w:t>
      </w:r>
    </w:p>
    <w:p w14:paraId="01F74022" w14:textId="346C5C63" w:rsidR="0001114C" w:rsidRPr="00BF7D5A" w:rsidRDefault="00B70E74" w:rsidP="0001114C">
      <w:pPr>
        <w:spacing w:before="120"/>
        <w:rPr>
          <w:sz w:val="22"/>
          <w:szCs w:val="22"/>
        </w:rPr>
      </w:pPr>
      <w:r w:rsidRPr="00BF7D5A">
        <w:rPr>
          <w:sz w:val="22"/>
          <w:szCs w:val="22"/>
        </w:rPr>
        <w:t xml:space="preserve">Les demandes de clarifications doivent être reçues avant le </w:t>
      </w:r>
      <w:r w:rsidR="005459A7">
        <w:rPr>
          <w:b/>
          <w:bCs/>
          <w:sz w:val="22"/>
          <w:szCs w:val="22"/>
          <w:u w:val="single"/>
        </w:rPr>
        <w:t>1</w:t>
      </w:r>
      <w:r w:rsidR="00117BE4">
        <w:rPr>
          <w:b/>
          <w:bCs/>
          <w:sz w:val="22"/>
          <w:szCs w:val="22"/>
          <w:u w:val="single"/>
        </w:rPr>
        <w:t>1</w:t>
      </w:r>
      <w:r w:rsidR="0001114C" w:rsidRPr="00BF7D5A">
        <w:rPr>
          <w:b/>
          <w:bCs/>
          <w:sz w:val="22"/>
          <w:szCs w:val="22"/>
          <w:u w:val="single"/>
        </w:rPr>
        <w:t>/1</w:t>
      </w:r>
      <w:r w:rsidR="00284FCF">
        <w:rPr>
          <w:b/>
          <w:bCs/>
          <w:sz w:val="22"/>
          <w:szCs w:val="22"/>
          <w:u w:val="single"/>
        </w:rPr>
        <w:t>1</w:t>
      </w:r>
      <w:r w:rsidR="0001114C" w:rsidRPr="00BF7D5A">
        <w:rPr>
          <w:b/>
          <w:bCs/>
          <w:sz w:val="22"/>
          <w:szCs w:val="22"/>
          <w:u w:val="single"/>
        </w:rPr>
        <w:t>/2024</w:t>
      </w:r>
      <w:r w:rsidR="0001114C" w:rsidRPr="00BF7D5A">
        <w:rPr>
          <w:b/>
          <w:bCs/>
          <w:sz w:val="22"/>
          <w:szCs w:val="22"/>
        </w:rPr>
        <w:t xml:space="preserve"> à minuit</w:t>
      </w:r>
      <w:r w:rsidR="0001114C" w:rsidRPr="00BF7D5A">
        <w:rPr>
          <w:sz w:val="22"/>
          <w:szCs w:val="22"/>
        </w:rPr>
        <w:t>.</w:t>
      </w:r>
    </w:p>
    <w:p w14:paraId="0563FA73" w14:textId="77777777" w:rsidR="0001114C" w:rsidRPr="00BF7D5A" w:rsidRDefault="0001114C" w:rsidP="0001114C">
      <w:pPr>
        <w:rPr>
          <w:sz w:val="22"/>
          <w:szCs w:val="22"/>
        </w:rPr>
      </w:pPr>
    </w:p>
    <w:p w14:paraId="678BB3B1" w14:textId="3C210B05" w:rsidR="0001114C" w:rsidRPr="00BF7D5A" w:rsidRDefault="0001114C" w:rsidP="0001114C">
      <w:pPr>
        <w:rPr>
          <w:sz w:val="22"/>
          <w:szCs w:val="22"/>
        </w:rPr>
      </w:pPr>
      <w:r w:rsidRPr="00BF7D5A">
        <w:rPr>
          <w:sz w:val="22"/>
          <w:szCs w:val="22"/>
        </w:rPr>
        <w:t xml:space="preserve">L’aperçu complet de toutes les questions et réponses sera adressé à tous les </w:t>
      </w:r>
      <w:r w:rsidR="00950620">
        <w:rPr>
          <w:sz w:val="22"/>
          <w:szCs w:val="22"/>
        </w:rPr>
        <w:t>candidats</w:t>
      </w:r>
      <w:r w:rsidR="00950620" w:rsidRPr="00BF7D5A">
        <w:rPr>
          <w:sz w:val="22"/>
          <w:szCs w:val="22"/>
        </w:rPr>
        <w:t xml:space="preserve"> </w:t>
      </w:r>
      <w:r w:rsidRPr="00BF7D5A">
        <w:rPr>
          <w:sz w:val="22"/>
          <w:szCs w:val="22"/>
        </w:rPr>
        <w:t xml:space="preserve">ayant retiré le DAO au plus tard </w:t>
      </w:r>
      <w:r w:rsidR="005459A7">
        <w:rPr>
          <w:b/>
          <w:bCs/>
          <w:sz w:val="22"/>
          <w:szCs w:val="22"/>
        </w:rPr>
        <w:t>1</w:t>
      </w:r>
      <w:r w:rsidR="00117BE4">
        <w:rPr>
          <w:b/>
          <w:bCs/>
          <w:sz w:val="22"/>
          <w:szCs w:val="22"/>
        </w:rPr>
        <w:t>3</w:t>
      </w:r>
      <w:r w:rsidRPr="00BF7D5A">
        <w:rPr>
          <w:b/>
          <w:bCs/>
          <w:sz w:val="22"/>
          <w:szCs w:val="22"/>
        </w:rPr>
        <w:t>/1</w:t>
      </w:r>
      <w:r w:rsidR="00284FCF">
        <w:rPr>
          <w:b/>
          <w:bCs/>
          <w:sz w:val="22"/>
          <w:szCs w:val="22"/>
        </w:rPr>
        <w:t>1</w:t>
      </w:r>
      <w:r w:rsidRPr="00BF7D5A">
        <w:rPr>
          <w:b/>
          <w:bCs/>
          <w:sz w:val="22"/>
          <w:szCs w:val="22"/>
        </w:rPr>
        <w:t>/2024</w:t>
      </w:r>
      <w:r w:rsidRPr="00BF7D5A">
        <w:rPr>
          <w:sz w:val="22"/>
          <w:szCs w:val="22"/>
        </w:rPr>
        <w:t>.</w:t>
      </w:r>
    </w:p>
    <w:p w14:paraId="75797AAF" w14:textId="77777777" w:rsidR="0001114C" w:rsidRPr="00BF7D5A" w:rsidRDefault="0001114C" w:rsidP="0001114C">
      <w:pPr>
        <w:rPr>
          <w:sz w:val="22"/>
          <w:szCs w:val="22"/>
        </w:rPr>
      </w:pPr>
    </w:p>
    <w:p w14:paraId="506483FC" w14:textId="77777777" w:rsidR="0001114C" w:rsidRPr="00BF7D5A" w:rsidRDefault="0001114C" w:rsidP="0001114C">
      <w:pPr>
        <w:numPr>
          <w:ilvl w:val="0"/>
          <w:numId w:val="1"/>
        </w:numPr>
        <w:spacing w:after="200"/>
        <w:ind w:left="426" w:hanging="426"/>
        <w:jc w:val="both"/>
        <w:rPr>
          <w:sz w:val="22"/>
          <w:szCs w:val="22"/>
        </w:rPr>
      </w:pPr>
      <w:r w:rsidRPr="00BF7D5A">
        <w:rPr>
          <w:sz w:val="22"/>
          <w:szCs w:val="22"/>
        </w:rPr>
        <w:t>Les exigences en matière de qualification sont : (</w:t>
      </w:r>
      <w:r w:rsidRPr="00BF7D5A">
        <w:rPr>
          <w:i/>
          <w:iCs/>
          <w:sz w:val="22"/>
          <w:szCs w:val="22"/>
        </w:rPr>
        <w:t>Voir</w:t>
      </w:r>
      <w:r w:rsidRPr="00BF7D5A">
        <w:rPr>
          <w:sz w:val="22"/>
          <w:szCs w:val="22"/>
        </w:rPr>
        <w:t xml:space="preserve"> </w:t>
      </w:r>
      <w:r w:rsidRPr="00BF7D5A">
        <w:rPr>
          <w:b/>
          <w:sz w:val="22"/>
          <w:szCs w:val="22"/>
        </w:rPr>
        <w:t>les termes de référence</w:t>
      </w:r>
      <w:r w:rsidRPr="00BF7D5A">
        <w:rPr>
          <w:sz w:val="22"/>
          <w:szCs w:val="22"/>
        </w:rPr>
        <w:t xml:space="preserve">). </w:t>
      </w:r>
    </w:p>
    <w:p w14:paraId="3B28307E" w14:textId="09E4B0F2" w:rsidR="0001114C" w:rsidRPr="00E0258F" w:rsidRDefault="0001114C" w:rsidP="0001114C">
      <w:pPr>
        <w:numPr>
          <w:ilvl w:val="0"/>
          <w:numId w:val="1"/>
        </w:numPr>
        <w:spacing w:after="200"/>
        <w:ind w:left="426" w:hanging="426"/>
        <w:jc w:val="both"/>
        <w:rPr>
          <w:i/>
          <w:iCs/>
          <w:sz w:val="22"/>
          <w:szCs w:val="22"/>
        </w:rPr>
      </w:pPr>
      <w:r w:rsidRPr="00BF7D5A">
        <w:rPr>
          <w:sz w:val="22"/>
          <w:szCs w:val="22"/>
        </w:rPr>
        <w:t>Le présent appel d’offres fait référence aux marges de préférences prévues par les articles 78 et 79 du Code des marchés publics.</w:t>
      </w:r>
    </w:p>
    <w:p w14:paraId="3485D7C8" w14:textId="0A5BD0A8" w:rsidR="00BF7D5A" w:rsidRPr="00BF7D5A" w:rsidRDefault="00BF7D5A" w:rsidP="00BF7D5A">
      <w:pPr>
        <w:numPr>
          <w:ilvl w:val="0"/>
          <w:numId w:val="1"/>
        </w:numPr>
        <w:spacing w:after="200"/>
        <w:ind w:left="0" w:firstLine="0"/>
        <w:jc w:val="both"/>
        <w:rPr>
          <w:sz w:val="22"/>
          <w:szCs w:val="22"/>
        </w:rPr>
      </w:pPr>
      <w:r w:rsidRPr="00BF7D5A">
        <w:rPr>
          <w:sz w:val="22"/>
          <w:szCs w:val="22"/>
        </w:rPr>
        <w:t xml:space="preserve">Les offres vont être rédigées en langue française et devront être déposées (physiquement) </w:t>
      </w:r>
      <w:r w:rsidRPr="00BF7D5A">
        <w:rPr>
          <w:b/>
          <w:sz w:val="22"/>
          <w:szCs w:val="22"/>
        </w:rPr>
        <w:t xml:space="preserve">en </w:t>
      </w:r>
      <w:r w:rsidR="005459A7">
        <w:rPr>
          <w:b/>
          <w:sz w:val="22"/>
          <w:szCs w:val="22"/>
        </w:rPr>
        <w:t>deux</w:t>
      </w:r>
      <w:r w:rsidRPr="00BF7D5A">
        <w:rPr>
          <w:b/>
          <w:sz w:val="22"/>
          <w:szCs w:val="22"/>
        </w:rPr>
        <w:t xml:space="preserve"> (0</w:t>
      </w:r>
      <w:r w:rsidR="005459A7">
        <w:rPr>
          <w:b/>
          <w:sz w:val="22"/>
          <w:szCs w:val="22"/>
        </w:rPr>
        <w:t>2</w:t>
      </w:r>
      <w:r w:rsidRPr="00BF7D5A">
        <w:rPr>
          <w:b/>
          <w:sz w:val="22"/>
          <w:szCs w:val="22"/>
        </w:rPr>
        <w:t xml:space="preserve">) exemplaires dont un (01) original et </w:t>
      </w:r>
      <w:r w:rsidR="005459A7">
        <w:rPr>
          <w:b/>
          <w:sz w:val="22"/>
          <w:szCs w:val="22"/>
        </w:rPr>
        <w:t>une (1)</w:t>
      </w:r>
      <w:r w:rsidRPr="00BF7D5A">
        <w:rPr>
          <w:b/>
          <w:sz w:val="22"/>
          <w:szCs w:val="22"/>
        </w:rPr>
        <w:t xml:space="preserve"> copie au plus tard </w:t>
      </w:r>
      <w:bookmarkStart w:id="2" w:name="_Hlk178942124"/>
      <w:r w:rsidR="00117BE4">
        <w:rPr>
          <w:b/>
          <w:sz w:val="22"/>
          <w:szCs w:val="22"/>
          <w:u w:val="single"/>
        </w:rPr>
        <w:t>le mercredi 20/11</w:t>
      </w:r>
      <w:r w:rsidRPr="00BF7D5A">
        <w:rPr>
          <w:b/>
          <w:sz w:val="22"/>
          <w:szCs w:val="22"/>
          <w:u w:val="single"/>
        </w:rPr>
        <w:t xml:space="preserve">/2024 </w:t>
      </w:r>
      <w:bookmarkEnd w:id="2"/>
      <w:r w:rsidRPr="00BF7D5A">
        <w:rPr>
          <w:b/>
          <w:bCs/>
          <w:iCs/>
          <w:sz w:val="22"/>
          <w:szCs w:val="22"/>
        </w:rPr>
        <w:t>à 11H00 GMT</w:t>
      </w:r>
      <w:r w:rsidRPr="00BF7D5A">
        <w:rPr>
          <w:iCs/>
          <w:sz w:val="22"/>
          <w:szCs w:val="22"/>
        </w:rPr>
        <w:t xml:space="preserve"> </w:t>
      </w:r>
      <w:r w:rsidRPr="00BF7D5A">
        <w:rPr>
          <w:sz w:val="22"/>
          <w:szCs w:val="22"/>
        </w:rPr>
        <w:t xml:space="preserve">à l’adresse ci-après : </w:t>
      </w:r>
      <w:r w:rsidRPr="00BF7D5A">
        <w:rPr>
          <w:b/>
          <w:iCs/>
          <w:sz w:val="22"/>
          <w:szCs w:val="22"/>
        </w:rPr>
        <w:t>sis au 3e étage de l’immeuble PALM RESIDENCE CAMAYENNE, sis sur la corniche nord de Camayenne, près de la clinique Ambroise Paré dans la commune de Dixinn.</w:t>
      </w:r>
      <w:r w:rsidRPr="00BF7D5A">
        <w:rPr>
          <w:iCs/>
          <w:sz w:val="22"/>
          <w:szCs w:val="22"/>
        </w:rPr>
        <w:t xml:space="preserve"> </w:t>
      </w:r>
    </w:p>
    <w:p w14:paraId="462FF577" w14:textId="446FD01C" w:rsidR="00BF7D5A" w:rsidRDefault="00BF7D5A" w:rsidP="00BF7D5A">
      <w:pPr>
        <w:numPr>
          <w:ilvl w:val="0"/>
          <w:numId w:val="1"/>
        </w:numPr>
        <w:spacing w:after="200"/>
        <w:ind w:left="0" w:firstLine="0"/>
        <w:jc w:val="both"/>
        <w:rPr>
          <w:sz w:val="22"/>
          <w:szCs w:val="22"/>
        </w:rPr>
      </w:pPr>
      <w:r w:rsidRPr="00BF7D5A">
        <w:rPr>
          <w:sz w:val="22"/>
          <w:szCs w:val="22"/>
        </w:rPr>
        <w:t>Les offres seront ouvertes</w:t>
      </w:r>
      <w:r w:rsidR="00AF5AA1" w:rsidRPr="00AF5AA1">
        <w:rPr>
          <w:b/>
          <w:sz w:val="22"/>
          <w:szCs w:val="22"/>
        </w:rPr>
        <w:t xml:space="preserve"> </w:t>
      </w:r>
      <w:r w:rsidR="00117BE4">
        <w:rPr>
          <w:b/>
          <w:sz w:val="22"/>
          <w:szCs w:val="22"/>
        </w:rPr>
        <w:t xml:space="preserve">le même jour </w:t>
      </w:r>
      <w:r w:rsidRPr="00BF7D5A">
        <w:rPr>
          <w:b/>
          <w:bCs/>
          <w:iCs/>
          <w:sz w:val="22"/>
          <w:szCs w:val="22"/>
        </w:rPr>
        <w:t>à 11H30 GMT</w:t>
      </w:r>
      <w:r w:rsidRPr="00BF7D5A">
        <w:rPr>
          <w:sz w:val="22"/>
          <w:szCs w:val="22"/>
        </w:rPr>
        <w:t xml:space="preserve"> en présence des représentants des soumissionnaires qui désirent participer à l’ouverture des plis, à l’adresse indiquée ci-haut. </w:t>
      </w:r>
    </w:p>
    <w:p w14:paraId="70E76932" w14:textId="63DA0C19" w:rsidR="00BF7D5A" w:rsidRPr="00864828" w:rsidRDefault="00BF7D5A" w:rsidP="00401864">
      <w:pPr>
        <w:numPr>
          <w:ilvl w:val="0"/>
          <w:numId w:val="1"/>
        </w:numPr>
        <w:spacing w:after="200"/>
        <w:ind w:left="567" w:hanging="567"/>
        <w:jc w:val="both"/>
        <w:rPr>
          <w:sz w:val="22"/>
          <w:szCs w:val="22"/>
        </w:rPr>
      </w:pPr>
      <w:r w:rsidRPr="00BF7D5A">
        <w:rPr>
          <w:iCs/>
          <w:sz w:val="22"/>
          <w:szCs w:val="22"/>
        </w:rPr>
        <w:t xml:space="preserve">Les offres devront demeurer valides pendant une durée de 120 jours </w:t>
      </w:r>
      <w:r w:rsidRPr="000267A3">
        <w:rPr>
          <w:sz w:val="22"/>
          <w:szCs w:val="22"/>
        </w:rPr>
        <w:t>à</w:t>
      </w:r>
      <w:r w:rsidRPr="00BF7D5A">
        <w:rPr>
          <w:iCs/>
          <w:sz w:val="22"/>
          <w:szCs w:val="22"/>
        </w:rPr>
        <w:t xml:space="preserve"> compter de la date limite de soumission, soit </w:t>
      </w:r>
      <w:r w:rsidR="005459A7">
        <w:rPr>
          <w:iCs/>
          <w:sz w:val="22"/>
          <w:szCs w:val="22"/>
        </w:rPr>
        <w:t xml:space="preserve">jusqu’au </w:t>
      </w:r>
      <w:r w:rsidR="00914ADD">
        <w:rPr>
          <w:b/>
          <w:bCs/>
          <w:iCs/>
          <w:sz w:val="22"/>
          <w:szCs w:val="22"/>
        </w:rPr>
        <w:t>20/03</w:t>
      </w:r>
      <w:r w:rsidR="005459A7" w:rsidRPr="005459A7">
        <w:rPr>
          <w:b/>
          <w:bCs/>
          <w:iCs/>
          <w:sz w:val="22"/>
          <w:szCs w:val="22"/>
        </w:rPr>
        <w:t>/</w:t>
      </w:r>
      <w:r w:rsidR="00597D9D" w:rsidRPr="005459A7">
        <w:rPr>
          <w:b/>
          <w:bCs/>
          <w:iCs/>
          <w:sz w:val="22"/>
          <w:szCs w:val="22"/>
        </w:rPr>
        <w:t>2025</w:t>
      </w:r>
      <w:r w:rsidR="00597D9D">
        <w:rPr>
          <w:b/>
          <w:bCs/>
          <w:iCs/>
          <w:sz w:val="22"/>
          <w:szCs w:val="22"/>
        </w:rPr>
        <w:t xml:space="preserve"> </w:t>
      </w:r>
      <w:r w:rsidRPr="00BF7D5A">
        <w:rPr>
          <w:iCs/>
          <w:sz w:val="22"/>
          <w:szCs w:val="22"/>
        </w:rPr>
        <w:t xml:space="preserve">au plus tôt </w:t>
      </w:r>
      <w:r w:rsidRPr="00BF7D5A">
        <w:rPr>
          <w:sz w:val="22"/>
          <w:szCs w:val="22"/>
        </w:rPr>
        <w:t>sous peine d’être éliminé.</w:t>
      </w:r>
      <w:r w:rsidRPr="00BF7D5A">
        <w:rPr>
          <w:iCs/>
          <w:sz w:val="22"/>
          <w:szCs w:val="22"/>
        </w:rPr>
        <w:t xml:space="preserve"> </w:t>
      </w:r>
      <w:r w:rsidR="00A76B3B">
        <w:rPr>
          <w:iCs/>
          <w:sz w:val="22"/>
          <w:szCs w:val="22"/>
        </w:rPr>
        <w:t xml:space="preserve"> </w:t>
      </w:r>
    </w:p>
    <w:p w14:paraId="750275B1" w14:textId="074ECAA1" w:rsidR="00864828" w:rsidRPr="00864828" w:rsidRDefault="00864828" w:rsidP="00864828">
      <w:pPr>
        <w:numPr>
          <w:ilvl w:val="0"/>
          <w:numId w:val="1"/>
        </w:numPr>
        <w:spacing w:after="200"/>
        <w:ind w:left="0" w:firstLine="0"/>
        <w:jc w:val="both"/>
        <w:rPr>
          <w:sz w:val="22"/>
          <w:szCs w:val="22"/>
        </w:rPr>
      </w:pPr>
      <w:r w:rsidRPr="00BF7D5A">
        <w:rPr>
          <w:b/>
          <w:bCs/>
          <w:sz w:val="22"/>
          <w:szCs w:val="22"/>
        </w:rPr>
        <w:t>Les offres tardives seront jugées non recevables et ne seront pas ouvertes.</w:t>
      </w:r>
    </w:p>
    <w:p w14:paraId="302D2B9B" w14:textId="77777777" w:rsidR="00153B4C" w:rsidRDefault="00153B4C" w:rsidP="00AC388A">
      <w:pPr>
        <w:numPr>
          <w:ilvl w:val="0"/>
          <w:numId w:val="1"/>
        </w:numPr>
        <w:spacing w:after="200"/>
        <w:ind w:left="426"/>
        <w:jc w:val="both"/>
      </w:pPr>
      <w:r w:rsidRPr="00652568">
        <w:t xml:space="preserve">La législation régissant l’appel d’offres est la législation Guinéenne. </w:t>
      </w:r>
    </w:p>
    <w:p w14:paraId="413039E1" w14:textId="108F8935" w:rsidR="007B1CC8" w:rsidRPr="00E00BC2" w:rsidRDefault="007B1CC8" w:rsidP="00117BE4">
      <w:pPr>
        <w:spacing w:after="200"/>
        <w:ind w:left="66"/>
        <w:jc w:val="both"/>
      </w:pPr>
      <w:proofErr w:type="gramStart"/>
      <w:r w:rsidRPr="007B1CC8">
        <w:rPr>
          <w:b/>
          <w:bCs/>
          <w:u w:val="single"/>
        </w:rPr>
        <w:t>NB</w:t>
      </w:r>
      <w:r w:rsidRPr="007B1CC8">
        <w:t>:</w:t>
      </w:r>
      <w:proofErr w:type="gramEnd"/>
      <w:r w:rsidRPr="007B1CC8">
        <w:t> </w:t>
      </w:r>
      <w:r w:rsidRPr="007B1CC8">
        <w:rPr>
          <w:b/>
          <w:bCs/>
        </w:rPr>
        <w:t>CLAUSE SUSPENSIVE</w:t>
      </w:r>
      <w:r w:rsidRPr="007B1CC8">
        <w:t> - " </w:t>
      </w:r>
      <w:r w:rsidRPr="007B1CC8">
        <w:rPr>
          <w:b/>
          <w:bCs/>
        </w:rPr>
        <w:t>Il sied de signaler que l'attribution du présent marché, de même que la contractualisation sont subordonnées à la validation du financement par le Bailleur de fonds.</w:t>
      </w:r>
      <w:r w:rsidRPr="007B1CC8">
        <w:t> </w:t>
      </w:r>
      <w:r w:rsidRPr="007B1CC8">
        <w:rPr>
          <w:b/>
          <w:bCs/>
        </w:rPr>
        <w:t xml:space="preserve">En cas de </w:t>
      </w:r>
      <w:r w:rsidR="00117BE4" w:rsidRPr="007B1CC8">
        <w:rPr>
          <w:b/>
          <w:bCs/>
        </w:rPr>
        <w:t>non-validation</w:t>
      </w:r>
      <w:r w:rsidRPr="007B1CC8">
        <w:rPr>
          <w:b/>
          <w:bCs/>
        </w:rPr>
        <w:t xml:space="preserve"> du financement, l'Autorité contractante se réserve le droit d'annuler la procédure en vertu des dispositions de l'article 82 du code des marchés publics</w:t>
      </w:r>
      <w:r w:rsidRPr="007B1CC8">
        <w:t> "</w:t>
      </w:r>
    </w:p>
    <w:p w14:paraId="6DF52709" w14:textId="77777777" w:rsidR="00BF7D5A" w:rsidRPr="00BF7D5A" w:rsidRDefault="00BF7D5A" w:rsidP="00BF7D5A">
      <w:pPr>
        <w:spacing w:after="200"/>
        <w:jc w:val="both"/>
        <w:rPr>
          <w:sz w:val="22"/>
          <w:szCs w:val="22"/>
        </w:rPr>
      </w:pPr>
    </w:p>
    <w:p w14:paraId="19F73295" w14:textId="77777777" w:rsidR="0001114C" w:rsidRPr="00BF7D5A" w:rsidRDefault="0001114C" w:rsidP="0001114C">
      <w:pPr>
        <w:tabs>
          <w:tab w:val="num" w:pos="720"/>
        </w:tabs>
        <w:jc w:val="both"/>
        <w:rPr>
          <w:bCs/>
          <w:sz w:val="22"/>
          <w:szCs w:val="22"/>
          <w:lang w:eastAsia="fr-FR"/>
        </w:rPr>
      </w:pPr>
    </w:p>
    <w:p w14:paraId="3B5C507A" w14:textId="3768164C" w:rsidR="0001114C" w:rsidRPr="00BF7D5A" w:rsidRDefault="005D5C72" w:rsidP="0001114C">
      <w:pPr>
        <w:tabs>
          <w:tab w:val="num" w:pos="0"/>
        </w:tabs>
        <w:spacing w:line="360" w:lineRule="auto"/>
        <w:ind w:left="5103"/>
        <w:jc w:val="center"/>
        <w:rPr>
          <w:bCs/>
          <w:sz w:val="22"/>
          <w:szCs w:val="22"/>
          <w:u w:val="single"/>
          <w:lang w:eastAsia="fr-FR"/>
        </w:rPr>
      </w:pPr>
      <w:r>
        <w:rPr>
          <w:iCs/>
          <w:sz w:val="22"/>
          <w:szCs w:val="22"/>
        </w:rPr>
        <w:t xml:space="preserve">       </w:t>
      </w:r>
      <w:r w:rsidR="0001114C" w:rsidRPr="00BF7D5A">
        <w:rPr>
          <w:iCs/>
          <w:sz w:val="22"/>
          <w:szCs w:val="22"/>
        </w:rPr>
        <w:t xml:space="preserve">Fait à Conakry, </w:t>
      </w:r>
      <w:r w:rsidR="0001114C" w:rsidRPr="00BF7D5A">
        <w:rPr>
          <w:sz w:val="22"/>
          <w:szCs w:val="22"/>
        </w:rPr>
        <w:t xml:space="preserve">le </w:t>
      </w:r>
      <w:r w:rsidR="00864828">
        <w:rPr>
          <w:sz w:val="22"/>
          <w:szCs w:val="22"/>
        </w:rPr>
        <w:t>25</w:t>
      </w:r>
      <w:r w:rsidR="0001114C" w:rsidRPr="00BF7D5A">
        <w:rPr>
          <w:sz w:val="22"/>
          <w:szCs w:val="22"/>
        </w:rPr>
        <w:t xml:space="preserve"> </w:t>
      </w:r>
      <w:r w:rsidR="00720E64">
        <w:rPr>
          <w:sz w:val="22"/>
          <w:szCs w:val="22"/>
        </w:rPr>
        <w:t>octo</w:t>
      </w:r>
      <w:r w:rsidR="0001114C" w:rsidRPr="00BF7D5A">
        <w:rPr>
          <w:sz w:val="22"/>
          <w:szCs w:val="22"/>
        </w:rPr>
        <w:t>bre</w:t>
      </w:r>
      <w:r w:rsidR="0001114C" w:rsidRPr="00BF7D5A">
        <w:rPr>
          <w:iCs/>
          <w:sz w:val="22"/>
          <w:szCs w:val="22"/>
        </w:rPr>
        <w:t xml:space="preserve"> 2024</w:t>
      </w:r>
    </w:p>
    <w:p w14:paraId="5F8823B2" w14:textId="77777777" w:rsidR="0001114C" w:rsidRPr="00BF7D5A" w:rsidRDefault="0001114C" w:rsidP="0001114C">
      <w:pPr>
        <w:tabs>
          <w:tab w:val="num" w:pos="720"/>
        </w:tabs>
        <w:jc w:val="both"/>
        <w:rPr>
          <w:sz w:val="22"/>
          <w:szCs w:val="22"/>
        </w:rPr>
      </w:pPr>
      <w:r w:rsidRPr="00BF7D5A">
        <w:rPr>
          <w:sz w:val="22"/>
          <w:szCs w:val="22"/>
        </w:rPr>
        <w:t xml:space="preserve">                                                                                                  </w:t>
      </w:r>
    </w:p>
    <w:p w14:paraId="04CE5988" w14:textId="1DD84AE7" w:rsidR="0001114C" w:rsidRPr="00BF7D5A" w:rsidRDefault="0001114C" w:rsidP="0001114C">
      <w:pPr>
        <w:tabs>
          <w:tab w:val="num" w:pos="720"/>
        </w:tabs>
        <w:jc w:val="both"/>
        <w:rPr>
          <w:sz w:val="22"/>
          <w:szCs w:val="22"/>
        </w:rPr>
      </w:pPr>
      <w:r w:rsidRPr="00BF7D5A">
        <w:rPr>
          <w:sz w:val="22"/>
          <w:szCs w:val="22"/>
        </w:rPr>
        <w:t xml:space="preserve">                                                                                                        Pour l’Autorité Contractante</w:t>
      </w:r>
      <w:r w:rsidR="00C651CD">
        <w:rPr>
          <w:sz w:val="22"/>
          <w:szCs w:val="22"/>
        </w:rPr>
        <w:t xml:space="preserve"> empêché</w:t>
      </w:r>
    </w:p>
    <w:p w14:paraId="7B4D5F2A" w14:textId="77777777" w:rsidR="0001114C" w:rsidRPr="00BF7D5A" w:rsidRDefault="0001114C" w:rsidP="0001114C">
      <w:pPr>
        <w:tabs>
          <w:tab w:val="num" w:pos="720"/>
        </w:tabs>
        <w:jc w:val="both"/>
        <w:rPr>
          <w:sz w:val="22"/>
          <w:szCs w:val="22"/>
        </w:rPr>
      </w:pPr>
    </w:p>
    <w:p w14:paraId="6248C744" w14:textId="1DCF4356" w:rsidR="0001114C" w:rsidRPr="00BF7D5A" w:rsidRDefault="0001114C" w:rsidP="0001114C">
      <w:pPr>
        <w:tabs>
          <w:tab w:val="num" w:pos="720"/>
        </w:tabs>
        <w:jc w:val="both"/>
        <w:rPr>
          <w:b/>
          <w:bCs/>
          <w:sz w:val="22"/>
          <w:szCs w:val="22"/>
        </w:rPr>
      </w:pPr>
      <w:r w:rsidRPr="00BF7D5A">
        <w:rPr>
          <w:sz w:val="22"/>
          <w:szCs w:val="22"/>
        </w:rPr>
        <w:t xml:space="preserve">                                                                                                       </w:t>
      </w:r>
      <w:r w:rsidR="00C651CD">
        <w:rPr>
          <w:sz w:val="22"/>
          <w:szCs w:val="22"/>
        </w:rPr>
        <w:t xml:space="preserve">      </w:t>
      </w:r>
      <w:r w:rsidRPr="00BF7D5A">
        <w:rPr>
          <w:sz w:val="22"/>
          <w:szCs w:val="22"/>
        </w:rPr>
        <w:t xml:space="preserve"> </w:t>
      </w:r>
      <w:r w:rsidR="005D5C72">
        <w:rPr>
          <w:sz w:val="22"/>
          <w:szCs w:val="22"/>
        </w:rPr>
        <w:t xml:space="preserve">    </w:t>
      </w:r>
      <w:r w:rsidR="00C651CD">
        <w:rPr>
          <w:b/>
          <w:bCs/>
          <w:sz w:val="22"/>
          <w:szCs w:val="22"/>
          <w:u w:val="single"/>
        </w:rPr>
        <w:t>M Gaspard LOUA</w:t>
      </w:r>
    </w:p>
    <w:p w14:paraId="1D116308" w14:textId="19E8F634" w:rsidR="0001114C" w:rsidRPr="00BF7D5A" w:rsidRDefault="0001114C" w:rsidP="0001114C">
      <w:pPr>
        <w:tabs>
          <w:tab w:val="num" w:pos="720"/>
        </w:tabs>
        <w:jc w:val="center"/>
        <w:rPr>
          <w:bCs/>
          <w:sz w:val="22"/>
          <w:szCs w:val="22"/>
        </w:rPr>
      </w:pPr>
      <w:r w:rsidRPr="00BF7D5A">
        <w:rPr>
          <w:b/>
          <w:sz w:val="22"/>
          <w:szCs w:val="22"/>
        </w:rPr>
        <w:t xml:space="preserve">                                                                                 </w:t>
      </w:r>
      <w:r w:rsidR="004D4C41" w:rsidRPr="00BF7D5A">
        <w:rPr>
          <w:b/>
          <w:sz w:val="22"/>
          <w:szCs w:val="22"/>
        </w:rPr>
        <w:t xml:space="preserve">   </w:t>
      </w:r>
      <w:r w:rsidRPr="00BF7D5A">
        <w:rPr>
          <w:b/>
          <w:sz w:val="22"/>
          <w:szCs w:val="22"/>
        </w:rPr>
        <w:t xml:space="preserve">      </w:t>
      </w:r>
      <w:r w:rsidR="005D5C72">
        <w:rPr>
          <w:b/>
          <w:sz w:val="22"/>
          <w:szCs w:val="22"/>
        </w:rPr>
        <w:t xml:space="preserve">       </w:t>
      </w:r>
      <w:r w:rsidR="00C651CD">
        <w:rPr>
          <w:bCs/>
          <w:sz w:val="22"/>
          <w:szCs w:val="22"/>
        </w:rPr>
        <w:t>Responsable Portefeuille</w:t>
      </w:r>
    </w:p>
    <w:p w14:paraId="3F10EFE4" w14:textId="77777777" w:rsidR="0001114C" w:rsidRPr="00BF7D5A" w:rsidRDefault="0001114C" w:rsidP="0001114C">
      <w:pPr>
        <w:tabs>
          <w:tab w:val="num" w:pos="0"/>
        </w:tabs>
        <w:spacing w:line="360" w:lineRule="auto"/>
        <w:rPr>
          <w:bCs/>
          <w:sz w:val="22"/>
          <w:szCs w:val="22"/>
          <w:u w:val="single"/>
          <w:lang w:eastAsia="fr-FR"/>
        </w:rPr>
      </w:pPr>
    </w:p>
    <w:p w14:paraId="015C4C65" w14:textId="6303346A" w:rsidR="00347D39" w:rsidRDefault="00347D39" w:rsidP="0001114C">
      <w:pPr>
        <w:spacing w:after="200"/>
        <w:ind w:left="426"/>
        <w:jc w:val="both"/>
      </w:pPr>
    </w:p>
    <w:sectPr w:rsidR="00347D3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8C381" w14:textId="77777777" w:rsidR="009A7ADB" w:rsidRDefault="009A7ADB" w:rsidP="00347D39">
      <w:r>
        <w:separator/>
      </w:r>
    </w:p>
  </w:endnote>
  <w:endnote w:type="continuationSeparator" w:id="0">
    <w:p w14:paraId="2A81CCBF" w14:textId="77777777" w:rsidR="009A7ADB" w:rsidRDefault="009A7ADB" w:rsidP="0034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60909149"/>
  <w:p w14:paraId="733030B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noProof/>
        <w:sz w:val="20"/>
        <w:szCs w:val="20"/>
        <w:lang w:eastAsia="fr-FR"/>
      </w:rPr>
      <mc:AlternateContent>
        <mc:Choice Requires="wps">
          <w:drawing>
            <wp:anchor distT="0" distB="0" distL="114300" distR="114300" simplePos="0" relativeHeight="251657728" behindDoc="0" locked="0" layoutInCell="1" allowOverlap="1" wp14:anchorId="5799B334" wp14:editId="3E7CC0C9">
              <wp:simplePos x="0" y="0"/>
              <wp:positionH relativeFrom="page">
                <wp:posOffset>19050</wp:posOffset>
              </wp:positionH>
              <wp:positionV relativeFrom="paragraph">
                <wp:posOffset>-31750</wp:posOffset>
              </wp:positionV>
              <wp:extent cx="7513320" cy="0"/>
              <wp:effectExtent l="0" t="19050" r="30480" b="19050"/>
              <wp:wrapNone/>
              <wp:docPr id="19" name="Connecteur droit 19"/>
              <wp:cNvGraphicFramePr/>
              <a:graphic xmlns:a="http://schemas.openxmlformats.org/drawingml/2006/main">
                <a:graphicData uri="http://schemas.microsoft.com/office/word/2010/wordprocessingShape">
                  <wps:wsp>
                    <wps:cNvCnPr/>
                    <wps:spPr>
                      <a:xfrm>
                        <a:off x="0" y="0"/>
                        <a:ext cx="7513320" cy="0"/>
                      </a:xfrm>
                      <a:prstGeom prst="line">
                        <a:avLst/>
                      </a:prstGeom>
                      <a:ln w="317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D0341" id="Connecteur droit 1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2.5pt" to="59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" strokecolor="#4472c4 [3204]" strokeweight="2.5pt">
              <v:stroke linestyle="thinThin" joinstyle="miter"/>
              <w10:wrap anchorx="page"/>
            </v:line>
          </w:pict>
        </mc:Fallback>
      </mc:AlternateContent>
    </w:r>
    <w:r w:rsidRPr="005E5FC3">
      <w:rPr>
        <w:rFonts w:ascii="Arial" w:hAnsi="Arial" w:cs="Arial"/>
        <w:i/>
        <w:iCs/>
        <w:sz w:val="20"/>
        <w:szCs w:val="20"/>
      </w:rPr>
      <w:t>2</w:t>
    </w:r>
    <w:r w:rsidRPr="005E5FC3">
      <w:rPr>
        <w:rFonts w:ascii="Arial" w:hAnsi="Arial" w:cs="Arial"/>
        <w:i/>
        <w:iCs/>
        <w:sz w:val="20"/>
        <w:szCs w:val="20"/>
        <w:vertAlign w:val="superscript"/>
      </w:rPr>
      <w:t>ème</w:t>
    </w:r>
    <w:r w:rsidRPr="005E5FC3">
      <w:rPr>
        <w:rFonts w:ascii="Arial" w:hAnsi="Arial" w:cs="Arial"/>
        <w:i/>
        <w:iCs/>
        <w:sz w:val="20"/>
        <w:szCs w:val="20"/>
      </w:rPr>
      <w:t xml:space="preserve"> étage</w:t>
    </w:r>
    <w:r w:rsidRPr="005E5FC3">
      <w:rPr>
        <w:rFonts w:ascii="Arial" w:hAnsi="Arial" w:cs="Arial"/>
        <w:i/>
        <w:iCs/>
        <w:noProof/>
        <w:sz w:val="20"/>
        <w:szCs w:val="20"/>
        <w:lang w:eastAsia="fr-FR"/>
      </w:rPr>
      <w:t xml:space="preserve"> </w:t>
    </w:r>
    <w:r w:rsidRPr="005E5FC3">
      <w:rPr>
        <w:rFonts w:ascii="Arial" w:hAnsi="Arial" w:cs="Arial"/>
        <w:i/>
        <w:iCs/>
        <w:sz w:val="20"/>
        <w:szCs w:val="20"/>
      </w:rPr>
      <w:t xml:space="preserve">Immeuble Palm Résidence Camayenne (corniche nord à coté clinique Ambroise Paré), </w:t>
    </w:r>
  </w:p>
  <w:p w14:paraId="1AC9ED1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 Quartier Camayenne, C. Dixinn, Conakry </w:t>
    </w:r>
    <w:proofErr w:type="spellStart"/>
    <w:r w:rsidRPr="005E5FC3">
      <w:rPr>
        <w:rFonts w:ascii="Arial" w:hAnsi="Arial" w:cs="Arial"/>
        <w:i/>
        <w:iCs/>
        <w:sz w:val="20"/>
        <w:szCs w:val="20"/>
      </w:rPr>
      <w:t>Rép</w:t>
    </w:r>
    <w:proofErr w:type="spellEnd"/>
    <w:r w:rsidRPr="005E5FC3">
      <w:rPr>
        <w:rFonts w:ascii="Arial" w:hAnsi="Arial" w:cs="Arial"/>
        <w:i/>
        <w:iCs/>
        <w:sz w:val="20"/>
        <w:szCs w:val="20"/>
      </w:rPr>
      <w:t>. Guinée</w:t>
    </w:r>
  </w:p>
  <w:p w14:paraId="4F997B13" w14:textId="4E8E2D83" w:rsidR="00347D39" w:rsidRPr="005E5FC3" w:rsidRDefault="00B3542F" w:rsidP="00347D39">
    <w:pPr>
      <w:pStyle w:val="Pieddepage"/>
      <w:jc w:val="center"/>
      <w:rPr>
        <w:rFonts w:ascii="Arial" w:hAnsi="Arial" w:cs="Arial"/>
        <w:b/>
        <w:bCs/>
        <w:i/>
        <w:iCs/>
        <w:sz w:val="20"/>
        <w:szCs w:val="20"/>
      </w:rPr>
    </w:pPr>
    <w:r>
      <w:rPr>
        <w:rFonts w:ascii="Arial" w:hAnsi="Arial" w:cs="Arial"/>
        <w:b/>
        <w:bCs/>
        <w:i/>
        <w:iCs/>
        <w:sz w:val="20"/>
        <w:szCs w:val="20"/>
      </w:rPr>
      <w:t>Email : tenders.uagcp@gmail.com</w:t>
    </w:r>
  </w:p>
  <w:p w14:paraId="3F2685DD" w14:textId="43ACFF47" w:rsidR="00347D39" w:rsidRPr="00347D39"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Synergie </w:t>
    </w:r>
    <w:r w:rsidRPr="00507689">
      <w:rPr>
        <w:rFonts w:ascii="Arial" w:hAnsi="Arial" w:cs="Arial"/>
        <w:i/>
        <w:iCs/>
        <w:sz w:val="20"/>
        <w:szCs w:val="20"/>
      </w:rPr>
      <w:t>d’action pour une meilleure santé</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BF560" w14:textId="77777777" w:rsidR="009A7ADB" w:rsidRDefault="009A7ADB" w:rsidP="00347D39">
      <w:r>
        <w:separator/>
      </w:r>
    </w:p>
  </w:footnote>
  <w:footnote w:type="continuationSeparator" w:id="0">
    <w:p w14:paraId="4AF09C1B" w14:textId="77777777" w:rsidR="009A7ADB" w:rsidRDefault="009A7ADB" w:rsidP="0034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5"/>
      <w:gridCol w:w="2404"/>
      <w:gridCol w:w="3969"/>
      <w:gridCol w:w="2269"/>
      <w:gridCol w:w="1701"/>
    </w:tblGrid>
    <w:tr w:rsidR="00347D39" w:rsidRPr="00007378" w14:paraId="60CD6B95" w14:textId="77777777" w:rsidTr="00263945">
      <w:tc>
        <w:tcPr>
          <w:tcW w:w="1565" w:type="dxa"/>
        </w:tcPr>
        <w:p w14:paraId="1F93CFA1" w14:textId="201B80C8" w:rsidR="00347D39" w:rsidRPr="00007378" w:rsidRDefault="00347D39" w:rsidP="00347D39">
          <w:pPr>
            <w:pStyle w:val="En-tte"/>
            <w:jc w:val="center"/>
          </w:pPr>
          <w:bookmarkStart w:id="3" w:name="_Hlk60908852"/>
          <w:r w:rsidRPr="00007378">
            <w:rPr>
              <w:noProof/>
              <w:lang w:eastAsia="fr-FR"/>
            </w:rPr>
            <w:drawing>
              <wp:inline distT="0" distB="0" distL="0" distR="0" wp14:anchorId="2702145A" wp14:editId="15D37586">
                <wp:extent cx="828675" cy="8382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304" cy="845917"/>
                        </a:xfrm>
                        <a:prstGeom prst="rect">
                          <a:avLst/>
                        </a:prstGeom>
                        <a:noFill/>
                        <a:ln>
                          <a:noFill/>
                        </a:ln>
                      </pic:spPr>
                    </pic:pic>
                  </a:graphicData>
                </a:graphic>
              </wp:inline>
            </w:drawing>
          </w:r>
        </w:p>
      </w:tc>
      <w:tc>
        <w:tcPr>
          <w:tcW w:w="8642" w:type="dxa"/>
          <w:gridSpan w:val="3"/>
        </w:tcPr>
        <w:p w14:paraId="04910971" w14:textId="62AF46FA" w:rsidR="00347D39" w:rsidRPr="00007378" w:rsidRDefault="00347D39" w:rsidP="00347D39">
          <w:pPr>
            <w:pStyle w:val="En-tte"/>
            <w:jc w:val="center"/>
            <w:rPr>
              <w:rFonts w:ascii="Arial" w:hAnsi="Arial" w:cs="Arial"/>
              <w:b/>
              <w:bCs/>
            </w:rPr>
          </w:pPr>
          <w:r w:rsidRPr="00007378">
            <w:rPr>
              <w:noProof/>
              <w:lang w:eastAsia="fr-FR"/>
            </w:rPr>
            <w:drawing>
              <wp:anchor distT="0" distB="0" distL="114300" distR="114300" simplePos="0" relativeHeight="251656704" behindDoc="0" locked="0" layoutInCell="1" allowOverlap="1" wp14:anchorId="6C504B53" wp14:editId="2E0A32F7">
                <wp:simplePos x="0" y="0"/>
                <wp:positionH relativeFrom="margin">
                  <wp:posOffset>4738370</wp:posOffset>
                </wp:positionH>
                <wp:positionV relativeFrom="margin">
                  <wp:posOffset>66675</wp:posOffset>
                </wp:positionV>
                <wp:extent cx="749300" cy="76200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anchor>
            </w:drawing>
          </w:r>
          <w:r w:rsidRPr="00007378">
            <w:rPr>
              <w:rFonts w:ascii="Arial" w:hAnsi="Arial" w:cs="Arial"/>
              <w:b/>
              <w:bCs/>
            </w:rPr>
            <w:t>REPUBLIQUE DE GUINEE</w:t>
          </w:r>
        </w:p>
        <w:p w14:paraId="4B23DF22" w14:textId="3CE30FB0" w:rsidR="00347D39" w:rsidRPr="00007378" w:rsidRDefault="00347D39" w:rsidP="00347D39">
          <w:pPr>
            <w:pStyle w:val="En-tte"/>
            <w:jc w:val="center"/>
            <w:rPr>
              <w:rFonts w:ascii="Arial" w:hAnsi="Arial" w:cs="Arial"/>
            </w:rPr>
          </w:pPr>
          <w:r w:rsidRPr="00007378">
            <w:rPr>
              <w:rFonts w:ascii="Arial" w:hAnsi="Arial" w:cs="Arial"/>
              <w:color w:val="FF0000"/>
            </w:rPr>
            <w:t>Travail</w:t>
          </w:r>
          <w:r w:rsidRPr="00007378">
            <w:rPr>
              <w:rFonts w:ascii="Arial" w:hAnsi="Arial" w:cs="Arial"/>
            </w:rPr>
            <w:t>-</w:t>
          </w:r>
          <w:r w:rsidRPr="00007378">
            <w:rPr>
              <w:rFonts w:ascii="Arial" w:hAnsi="Arial" w:cs="Arial"/>
              <w:color w:val="FFC000"/>
            </w:rPr>
            <w:t>Justice</w:t>
          </w:r>
          <w:r w:rsidRPr="00007378">
            <w:rPr>
              <w:rFonts w:ascii="Arial" w:hAnsi="Arial" w:cs="Arial"/>
            </w:rPr>
            <w:t>-</w:t>
          </w:r>
          <w:r w:rsidRPr="00007378">
            <w:rPr>
              <w:rFonts w:ascii="Arial" w:hAnsi="Arial" w:cs="Arial"/>
              <w:color w:val="00B050"/>
            </w:rPr>
            <w:t>Solidarité</w:t>
          </w:r>
        </w:p>
        <w:p w14:paraId="3A340633" w14:textId="77777777" w:rsidR="00347D39" w:rsidRPr="00007378" w:rsidRDefault="00347D39" w:rsidP="00347D39">
          <w:pPr>
            <w:pStyle w:val="En-tte"/>
            <w:spacing w:before="120" w:after="120"/>
            <w:jc w:val="center"/>
            <w:rPr>
              <w:rFonts w:ascii="Arial" w:hAnsi="Arial" w:cs="Arial"/>
              <w:b/>
              <w:bCs/>
            </w:rPr>
          </w:pPr>
          <w:r w:rsidRPr="00007378">
            <w:rPr>
              <w:rFonts w:ascii="Arial" w:hAnsi="Arial" w:cs="Arial"/>
              <w:b/>
              <w:bCs/>
            </w:rPr>
            <w:t>MINISTERE DE LA SANTE</w:t>
          </w:r>
        </w:p>
        <w:p w14:paraId="78DEAD1D" w14:textId="77777777" w:rsidR="00347D39" w:rsidRPr="00007378" w:rsidRDefault="00347D39" w:rsidP="00347D39">
          <w:pPr>
            <w:pStyle w:val="En-tte"/>
            <w:jc w:val="center"/>
          </w:pPr>
          <w:r w:rsidRPr="00007378">
            <w:rPr>
              <w:rFonts w:ascii="Arial" w:hAnsi="Arial" w:cs="Arial"/>
              <w:b/>
              <w:bCs/>
            </w:rPr>
            <w:t>UNITE D'APPUI A LA GESTION ET A LA COORDINATION DES PROGRAMMES</w:t>
          </w:r>
          <w:r w:rsidRPr="00007378">
            <w:rPr>
              <w:b/>
              <w:bCs/>
            </w:rPr>
            <w:t xml:space="preserve"> </w:t>
          </w:r>
          <w:r w:rsidRPr="00007378">
            <w:rPr>
              <w:rFonts w:ascii="Arial" w:hAnsi="Arial" w:cs="Arial"/>
              <w:b/>
              <w:bCs/>
            </w:rPr>
            <w:t>(UAGCP)</w:t>
          </w:r>
        </w:p>
      </w:tc>
      <w:tc>
        <w:tcPr>
          <w:tcW w:w="1701" w:type="dxa"/>
        </w:tcPr>
        <w:p w14:paraId="11A42288" w14:textId="7FAB1E1D" w:rsidR="00347D39" w:rsidRPr="00007378" w:rsidRDefault="00347D39" w:rsidP="00347D39">
          <w:pPr>
            <w:pStyle w:val="En-tte"/>
            <w:jc w:val="center"/>
          </w:pPr>
        </w:p>
      </w:tc>
    </w:tr>
    <w:bookmarkEnd w:id="3"/>
    <w:tr w:rsidR="00347D39" w14:paraId="2943BEF9" w14:textId="77777777" w:rsidTr="00263945">
      <w:trPr>
        <w:trHeight w:val="28"/>
      </w:trPr>
      <w:tc>
        <w:tcPr>
          <w:tcW w:w="3969" w:type="dxa"/>
          <w:gridSpan w:val="2"/>
          <w:shd w:val="clear" w:color="auto" w:fill="FF0000"/>
        </w:tcPr>
        <w:p w14:paraId="43A52B77" w14:textId="77777777" w:rsidR="00347D39" w:rsidRPr="003E3A97" w:rsidRDefault="00347D39" w:rsidP="00347D39">
          <w:pPr>
            <w:pStyle w:val="En-tte"/>
            <w:jc w:val="center"/>
            <w:rPr>
              <w:noProof/>
              <w:sz w:val="4"/>
              <w:szCs w:val="4"/>
            </w:rPr>
          </w:pPr>
        </w:p>
      </w:tc>
      <w:tc>
        <w:tcPr>
          <w:tcW w:w="3969" w:type="dxa"/>
          <w:shd w:val="clear" w:color="auto" w:fill="FFFF00"/>
        </w:tcPr>
        <w:p w14:paraId="32814322" w14:textId="77777777" w:rsidR="00347D39" w:rsidRPr="003E3A97" w:rsidRDefault="00347D39" w:rsidP="00347D39">
          <w:pPr>
            <w:pStyle w:val="En-tte"/>
            <w:jc w:val="center"/>
            <w:rPr>
              <w:sz w:val="4"/>
              <w:szCs w:val="4"/>
            </w:rPr>
          </w:pPr>
        </w:p>
      </w:tc>
      <w:tc>
        <w:tcPr>
          <w:tcW w:w="3970" w:type="dxa"/>
          <w:gridSpan w:val="2"/>
          <w:shd w:val="clear" w:color="auto" w:fill="00B050"/>
        </w:tcPr>
        <w:p w14:paraId="23F92D18" w14:textId="77777777" w:rsidR="00347D39" w:rsidRPr="003E3A97" w:rsidRDefault="00347D39" w:rsidP="00347D39">
          <w:pPr>
            <w:pStyle w:val="En-tte"/>
            <w:rPr>
              <w:noProof/>
              <w:sz w:val="4"/>
              <w:szCs w:val="4"/>
            </w:rPr>
          </w:pPr>
        </w:p>
      </w:tc>
    </w:tr>
  </w:tbl>
  <w:p w14:paraId="38EEC104" w14:textId="10922AAA" w:rsidR="00347D39" w:rsidRDefault="00000000">
    <w:pPr>
      <w:pStyle w:val="En-tte"/>
    </w:pPr>
    <w:r>
      <w:rPr>
        <w:noProof/>
        <w:lang w:eastAsia="fr-FR"/>
      </w:rPr>
      <w:pict w14:anchorId="4EA26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558330" o:spid="_x0000_s1026" type="#_x0000_t75" style="position:absolute;margin-left:0;margin-top:0;width:328.35pt;height:365.15pt;z-index:-251657728;mso-position-horizontal:center;mso-position-horizontal-relative:margin;mso-position-vertical:center;mso-position-vertical-relative:margin" o:allowincell="f">
          <v:imagedata r:id="rId3" o:title="Logo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81AC0"/>
    <w:multiLevelType w:val="hybridMultilevel"/>
    <w:tmpl w:val="E048E2E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7432597"/>
    <w:multiLevelType w:val="hybridMultilevel"/>
    <w:tmpl w:val="097674C4"/>
    <w:lvl w:ilvl="0" w:tplc="E99830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F2B9D"/>
    <w:multiLevelType w:val="hybridMultilevel"/>
    <w:tmpl w:val="2A8A76EE"/>
    <w:lvl w:ilvl="0" w:tplc="B7E2E7B2">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9145FD"/>
    <w:multiLevelType w:val="hybridMultilevel"/>
    <w:tmpl w:val="B75820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A04E1B"/>
    <w:multiLevelType w:val="hybridMultilevel"/>
    <w:tmpl w:val="3338719C"/>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34ED1FA5"/>
    <w:multiLevelType w:val="multilevel"/>
    <w:tmpl w:val="FDCC0174"/>
    <w:lvl w:ilvl="0">
      <w:start w:val="1"/>
      <w:numFmt w:val="decimal"/>
      <w:lvlText w:val="%1."/>
      <w:lvlJc w:val="left"/>
      <w:pPr>
        <w:tabs>
          <w:tab w:val="num" w:pos="720"/>
        </w:tabs>
        <w:ind w:left="720" w:hanging="720"/>
      </w:pPr>
      <w:rPr>
        <w:rFonts w:hint="default"/>
        <w:b w:val="0"/>
        <w:i w:val="0"/>
      </w:r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98C5B6D"/>
    <w:multiLevelType w:val="hybridMultilevel"/>
    <w:tmpl w:val="850A411A"/>
    <w:lvl w:ilvl="0" w:tplc="240C000F">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7" w15:restartNumberingAfterBreak="0">
    <w:nsid w:val="699370FD"/>
    <w:multiLevelType w:val="hybridMultilevel"/>
    <w:tmpl w:val="BB14709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397362009">
    <w:abstractNumId w:val="3"/>
  </w:num>
  <w:num w:numId="2" w16cid:durableId="1007903429">
    <w:abstractNumId w:val="0"/>
  </w:num>
  <w:num w:numId="3" w16cid:durableId="1982223963">
    <w:abstractNumId w:val="7"/>
  </w:num>
  <w:num w:numId="4" w16cid:durableId="239995271">
    <w:abstractNumId w:val="1"/>
  </w:num>
  <w:num w:numId="5" w16cid:durableId="854924644">
    <w:abstractNumId w:val="4"/>
  </w:num>
  <w:num w:numId="6" w16cid:durableId="1291588621">
    <w:abstractNumId w:val="2"/>
  </w:num>
  <w:num w:numId="7" w16cid:durableId="747390180">
    <w:abstractNumId w:val="5"/>
  </w:num>
  <w:num w:numId="8" w16cid:durableId="1491404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39"/>
    <w:rsid w:val="0001114C"/>
    <w:rsid w:val="000267A3"/>
    <w:rsid w:val="00026A89"/>
    <w:rsid w:val="00046F71"/>
    <w:rsid w:val="00066D0C"/>
    <w:rsid w:val="000730F9"/>
    <w:rsid w:val="00086CBA"/>
    <w:rsid w:val="000F04B7"/>
    <w:rsid w:val="000F0694"/>
    <w:rsid w:val="000F201E"/>
    <w:rsid w:val="00100D2D"/>
    <w:rsid w:val="00101643"/>
    <w:rsid w:val="00117BE4"/>
    <w:rsid w:val="00153B4C"/>
    <w:rsid w:val="00155823"/>
    <w:rsid w:val="00164C6E"/>
    <w:rsid w:val="001840A4"/>
    <w:rsid w:val="00187253"/>
    <w:rsid w:val="00194E32"/>
    <w:rsid w:val="001F121F"/>
    <w:rsid w:val="00245FC1"/>
    <w:rsid w:val="00284FCF"/>
    <w:rsid w:val="00297C9F"/>
    <w:rsid w:val="002B324E"/>
    <w:rsid w:val="00314362"/>
    <w:rsid w:val="0031553C"/>
    <w:rsid w:val="00316D9A"/>
    <w:rsid w:val="00336C4E"/>
    <w:rsid w:val="00347D39"/>
    <w:rsid w:val="003710F3"/>
    <w:rsid w:val="003C3D79"/>
    <w:rsid w:val="003D10D0"/>
    <w:rsid w:val="00401864"/>
    <w:rsid w:val="0040760B"/>
    <w:rsid w:val="00427FD1"/>
    <w:rsid w:val="00431026"/>
    <w:rsid w:val="004B3E35"/>
    <w:rsid w:val="004D4C41"/>
    <w:rsid w:val="00520BBD"/>
    <w:rsid w:val="005459A7"/>
    <w:rsid w:val="00587645"/>
    <w:rsid w:val="00590147"/>
    <w:rsid w:val="00597D9D"/>
    <w:rsid w:val="005D5C72"/>
    <w:rsid w:val="005F0FB2"/>
    <w:rsid w:val="005F79F7"/>
    <w:rsid w:val="006177DF"/>
    <w:rsid w:val="006630CD"/>
    <w:rsid w:val="00676FE3"/>
    <w:rsid w:val="006C39D1"/>
    <w:rsid w:val="006E65F9"/>
    <w:rsid w:val="007172BA"/>
    <w:rsid w:val="00720E64"/>
    <w:rsid w:val="007B1CC8"/>
    <w:rsid w:val="00822E0C"/>
    <w:rsid w:val="0083615B"/>
    <w:rsid w:val="008617AC"/>
    <w:rsid w:val="00864828"/>
    <w:rsid w:val="00894B2D"/>
    <w:rsid w:val="008A5CEA"/>
    <w:rsid w:val="008D05E6"/>
    <w:rsid w:val="009043F7"/>
    <w:rsid w:val="00914ADD"/>
    <w:rsid w:val="0092499A"/>
    <w:rsid w:val="00950620"/>
    <w:rsid w:val="00983FA8"/>
    <w:rsid w:val="00984E3D"/>
    <w:rsid w:val="009A7ADB"/>
    <w:rsid w:val="009E55DF"/>
    <w:rsid w:val="00A07B04"/>
    <w:rsid w:val="00A23A57"/>
    <w:rsid w:val="00A44235"/>
    <w:rsid w:val="00A66EC1"/>
    <w:rsid w:val="00A7361B"/>
    <w:rsid w:val="00A76B3B"/>
    <w:rsid w:val="00A95234"/>
    <w:rsid w:val="00AA4814"/>
    <w:rsid w:val="00AB15D8"/>
    <w:rsid w:val="00AC388A"/>
    <w:rsid w:val="00AF5AA1"/>
    <w:rsid w:val="00B14916"/>
    <w:rsid w:val="00B17C3A"/>
    <w:rsid w:val="00B307E1"/>
    <w:rsid w:val="00B3542F"/>
    <w:rsid w:val="00B5428F"/>
    <w:rsid w:val="00B60FC5"/>
    <w:rsid w:val="00B70E74"/>
    <w:rsid w:val="00B81100"/>
    <w:rsid w:val="00B87E8A"/>
    <w:rsid w:val="00B92BBB"/>
    <w:rsid w:val="00BA259C"/>
    <w:rsid w:val="00BB51C1"/>
    <w:rsid w:val="00BF7D5A"/>
    <w:rsid w:val="00C651CD"/>
    <w:rsid w:val="00CA50B6"/>
    <w:rsid w:val="00CD0FA3"/>
    <w:rsid w:val="00CF57C8"/>
    <w:rsid w:val="00D66D90"/>
    <w:rsid w:val="00D87932"/>
    <w:rsid w:val="00DA0769"/>
    <w:rsid w:val="00DF4AE8"/>
    <w:rsid w:val="00E0258F"/>
    <w:rsid w:val="00E030FA"/>
    <w:rsid w:val="00E16C98"/>
    <w:rsid w:val="00E77141"/>
    <w:rsid w:val="00E830C7"/>
    <w:rsid w:val="00E92B0B"/>
    <w:rsid w:val="00F024FC"/>
    <w:rsid w:val="00F26778"/>
    <w:rsid w:val="00F4759C"/>
    <w:rsid w:val="00F667C0"/>
    <w:rsid w:val="00F77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874FE"/>
  <w15:chartTrackingRefBased/>
  <w15:docId w15:val="{7293F6E4-6B10-48F9-A39C-3251A203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39"/>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347D39"/>
    <w:rPr>
      <w:color w:val="0000FF"/>
      <w:u w:val="single"/>
    </w:rPr>
  </w:style>
  <w:style w:type="paragraph" w:styleId="En-tte">
    <w:name w:val="header"/>
    <w:basedOn w:val="Normal"/>
    <w:link w:val="En-tteCar"/>
    <w:uiPriority w:val="99"/>
    <w:unhideWhenUsed/>
    <w:rsid w:val="00347D39"/>
    <w:pPr>
      <w:tabs>
        <w:tab w:val="center" w:pos="4536"/>
        <w:tab w:val="right" w:pos="9072"/>
      </w:tabs>
    </w:pPr>
  </w:style>
  <w:style w:type="character" w:customStyle="1" w:styleId="En-tteCar">
    <w:name w:val="En-tête Car"/>
    <w:basedOn w:val="Policepardfaut"/>
    <w:link w:val="En-tte"/>
    <w:uiPriority w:val="99"/>
    <w:rsid w:val="00347D39"/>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47D39"/>
    <w:pPr>
      <w:tabs>
        <w:tab w:val="center" w:pos="4536"/>
        <w:tab w:val="right" w:pos="9072"/>
      </w:tabs>
    </w:pPr>
  </w:style>
  <w:style w:type="character" w:customStyle="1" w:styleId="PieddepageCar">
    <w:name w:val="Pied de page Car"/>
    <w:basedOn w:val="Policepardfaut"/>
    <w:link w:val="Pieddepage"/>
    <w:uiPriority w:val="99"/>
    <w:rsid w:val="00347D39"/>
    <w:rPr>
      <w:rFonts w:ascii="Times New Roman" w:eastAsia="Times New Roman" w:hAnsi="Times New Roman" w:cs="Times New Roman"/>
      <w:sz w:val="24"/>
      <w:szCs w:val="24"/>
    </w:rPr>
  </w:style>
  <w:style w:type="table" w:styleId="Grilledutableau">
    <w:name w:val="Table Grid"/>
    <w:basedOn w:val="TableauNormal"/>
    <w:rsid w:val="0034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tyle 3,Bullets,Liste couleur - Accent 11,References,Titre1,inspringtekst,1,Paragraphe de liste1,Glossaire,liste de tableaux,I..1,L_4,Paragraphe de liste4,U 5,Paragraphe 2,texte,Bullet Points,Farbige Liste - Akzent 11,Liste Paragraf"/>
    <w:basedOn w:val="Normal"/>
    <w:link w:val="ParagraphedelisteCar"/>
    <w:uiPriority w:val="34"/>
    <w:qFormat/>
    <w:rsid w:val="00A23A57"/>
    <w:pPr>
      <w:ind w:left="720"/>
      <w:contextualSpacing/>
    </w:pPr>
  </w:style>
  <w:style w:type="paragraph" w:customStyle="1" w:styleId="Header3-Paragraph">
    <w:name w:val="Header 3 - Paragraph"/>
    <w:basedOn w:val="Normal"/>
    <w:rsid w:val="00336C4E"/>
    <w:pPr>
      <w:tabs>
        <w:tab w:val="left" w:pos="504"/>
      </w:tabs>
      <w:overflowPunct w:val="0"/>
      <w:autoSpaceDE w:val="0"/>
      <w:autoSpaceDN w:val="0"/>
      <w:adjustRightInd w:val="0"/>
      <w:spacing w:after="200"/>
      <w:ind w:left="504" w:hanging="504"/>
      <w:jc w:val="both"/>
      <w:textAlignment w:val="baseline"/>
    </w:pPr>
    <w:rPr>
      <w:rFonts w:cs="Arial"/>
      <w:lang w:val="en-US" w:eastAsia="fr-FR"/>
    </w:rPr>
  </w:style>
  <w:style w:type="character" w:styleId="Marquedecommentaire">
    <w:name w:val="annotation reference"/>
    <w:basedOn w:val="Policepardfaut"/>
    <w:uiPriority w:val="99"/>
    <w:semiHidden/>
    <w:unhideWhenUsed/>
    <w:rsid w:val="00B14916"/>
    <w:rPr>
      <w:sz w:val="16"/>
      <w:szCs w:val="16"/>
    </w:rPr>
  </w:style>
  <w:style w:type="paragraph" w:styleId="Commentaire">
    <w:name w:val="annotation text"/>
    <w:basedOn w:val="Normal"/>
    <w:link w:val="CommentaireCar"/>
    <w:uiPriority w:val="99"/>
    <w:semiHidden/>
    <w:unhideWhenUsed/>
    <w:rsid w:val="00B14916"/>
    <w:rPr>
      <w:sz w:val="20"/>
      <w:szCs w:val="20"/>
    </w:rPr>
  </w:style>
  <w:style w:type="character" w:customStyle="1" w:styleId="CommentaireCar">
    <w:name w:val="Commentaire Car"/>
    <w:basedOn w:val="Policepardfaut"/>
    <w:link w:val="Commentaire"/>
    <w:uiPriority w:val="99"/>
    <w:semiHidden/>
    <w:rsid w:val="00B14916"/>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14916"/>
    <w:rPr>
      <w:b/>
      <w:bCs/>
    </w:rPr>
  </w:style>
  <w:style w:type="character" w:customStyle="1" w:styleId="ObjetducommentaireCar">
    <w:name w:val="Objet du commentaire Car"/>
    <w:basedOn w:val="CommentaireCar"/>
    <w:link w:val="Objetducommentaire"/>
    <w:uiPriority w:val="99"/>
    <w:semiHidden/>
    <w:rsid w:val="00B14916"/>
    <w:rPr>
      <w:rFonts w:ascii="Times New Roman" w:eastAsia="Times New Roman" w:hAnsi="Times New Roman" w:cs="Times New Roman"/>
      <w:b/>
      <w:bCs/>
      <w:sz w:val="20"/>
      <w:szCs w:val="20"/>
    </w:rPr>
  </w:style>
  <w:style w:type="paragraph" w:styleId="Rvision">
    <w:name w:val="Revision"/>
    <w:hidden/>
    <w:uiPriority w:val="99"/>
    <w:semiHidden/>
    <w:rsid w:val="00B70E74"/>
    <w:pPr>
      <w:spacing w:after="0" w:line="240" w:lineRule="auto"/>
    </w:pPr>
    <w:rPr>
      <w:rFonts w:ascii="Times New Roman" w:eastAsia="Times New Roman" w:hAnsi="Times New Roman" w:cs="Times New Roman"/>
      <w:sz w:val="24"/>
      <w:szCs w:val="24"/>
    </w:rPr>
  </w:style>
  <w:style w:type="character" w:customStyle="1" w:styleId="ParagraphedelisteCar">
    <w:name w:val="Paragraphe de liste Car"/>
    <w:aliases w:val="Style 3 Car,Bullets Car,Liste couleur - Accent 11 Car,References Car,Titre1 Car,inspringtekst Car,1 Car,Paragraphe de liste1 Car,Glossaire Car,liste de tableaux Car,I..1 Car,L_4 Car,Paragraphe de liste4 Car,U 5 Car,texte Car"/>
    <w:link w:val="Paragraphedeliste"/>
    <w:uiPriority w:val="34"/>
    <w:rsid w:val="00BF7D5A"/>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9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ders.uagc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726</Words>
  <Characters>3995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Diarre</dc:creator>
  <cp:keywords/>
  <dc:description/>
  <cp:lastModifiedBy>Salimatou DIALLO</cp:lastModifiedBy>
  <cp:revision>12</cp:revision>
  <cp:lastPrinted>2024-10-25T16:53:00Z</cp:lastPrinted>
  <dcterms:created xsi:type="dcterms:W3CDTF">2024-10-25T13:56:00Z</dcterms:created>
  <dcterms:modified xsi:type="dcterms:W3CDTF">2024-10-25T16:53:00Z</dcterms:modified>
</cp:coreProperties>
</file>