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0" w:type="dxa"/>
        <w:tblInd w:w="-714" w:type="dxa"/>
        <w:tblCellMar>
          <w:left w:w="0" w:type="dxa"/>
          <w:right w:w="0" w:type="dxa"/>
        </w:tblCellMar>
        <w:tblLook w:val="04A0" w:firstRow="1" w:lastRow="0" w:firstColumn="1" w:lastColumn="0" w:noHBand="0" w:noVBand="1"/>
      </w:tblPr>
      <w:tblGrid>
        <w:gridCol w:w="1423"/>
        <w:gridCol w:w="2186"/>
        <w:gridCol w:w="3609"/>
        <w:gridCol w:w="2065"/>
        <w:gridCol w:w="1547"/>
      </w:tblGrid>
      <w:tr w:rsidR="004B59A0" w:rsidRPr="006C7E7D" w14:paraId="350A2413" w14:textId="77777777" w:rsidTr="0015577A">
        <w:trPr>
          <w:trHeight w:val="1483"/>
        </w:trPr>
        <w:tc>
          <w:tcPr>
            <w:tcW w:w="1423" w:type="dxa"/>
            <w:shd w:val="clear" w:color="auto" w:fill="auto"/>
          </w:tcPr>
          <w:p w14:paraId="385299C8" w14:textId="77777777" w:rsidR="004B59A0" w:rsidRPr="006C7E7D" w:rsidRDefault="004B59A0" w:rsidP="00693238">
            <w:pPr>
              <w:pStyle w:val="En-tte"/>
              <w:jc w:val="center"/>
              <w:rPr>
                <w:sz w:val="28"/>
                <w:szCs w:val="28"/>
              </w:rPr>
            </w:pPr>
            <w:bookmarkStart w:id="0" w:name="_Hlk60908852"/>
            <w:r w:rsidRPr="006C7E7D">
              <w:rPr>
                <w:noProof/>
                <w:sz w:val="28"/>
                <w:szCs w:val="28"/>
                <w:lang w:val="en-US" w:eastAsia="en-US"/>
              </w:rPr>
              <w:drawing>
                <wp:inline distT="0" distB="0" distL="0" distR="0" wp14:anchorId="3960846B" wp14:editId="46C4D8CF">
                  <wp:extent cx="825500" cy="838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838200"/>
                          </a:xfrm>
                          <a:prstGeom prst="rect">
                            <a:avLst/>
                          </a:prstGeom>
                          <a:noFill/>
                          <a:ln>
                            <a:noFill/>
                          </a:ln>
                        </pic:spPr>
                      </pic:pic>
                    </a:graphicData>
                  </a:graphic>
                </wp:inline>
              </w:drawing>
            </w:r>
          </w:p>
        </w:tc>
        <w:tc>
          <w:tcPr>
            <w:tcW w:w="7860" w:type="dxa"/>
            <w:gridSpan w:val="3"/>
            <w:shd w:val="clear" w:color="auto" w:fill="auto"/>
          </w:tcPr>
          <w:p w14:paraId="53E2506B" w14:textId="77777777" w:rsidR="004B59A0" w:rsidRPr="006C7E7D" w:rsidRDefault="004B59A0" w:rsidP="00693238">
            <w:pPr>
              <w:pStyle w:val="En-tte"/>
              <w:jc w:val="center"/>
              <w:rPr>
                <w:b/>
                <w:bCs/>
              </w:rPr>
            </w:pPr>
            <w:r w:rsidRPr="006C7E7D">
              <w:rPr>
                <w:b/>
                <w:bCs/>
              </w:rPr>
              <w:t>REPUBLIQUE DE GUINEE</w:t>
            </w:r>
          </w:p>
          <w:p w14:paraId="2C33ECA4" w14:textId="77777777" w:rsidR="004B59A0" w:rsidRPr="006C7E7D" w:rsidRDefault="004B59A0" w:rsidP="00693238">
            <w:pPr>
              <w:pStyle w:val="En-tte"/>
              <w:jc w:val="center"/>
            </w:pPr>
            <w:r w:rsidRPr="006C7E7D">
              <w:rPr>
                <w:color w:val="FF0000"/>
              </w:rPr>
              <w:t>Travail</w:t>
            </w:r>
            <w:r w:rsidRPr="006C7E7D">
              <w:t>-</w:t>
            </w:r>
            <w:r w:rsidRPr="006C7E7D">
              <w:rPr>
                <w:color w:val="FFC000"/>
              </w:rPr>
              <w:t>Justice</w:t>
            </w:r>
            <w:r w:rsidRPr="006C7E7D">
              <w:t>-</w:t>
            </w:r>
            <w:r w:rsidRPr="006C7E7D">
              <w:rPr>
                <w:color w:val="00B050"/>
              </w:rPr>
              <w:t>Solidarité</w:t>
            </w:r>
          </w:p>
          <w:p w14:paraId="5F0A2C43" w14:textId="77777777" w:rsidR="004B59A0" w:rsidRPr="006C7E7D" w:rsidRDefault="004B59A0" w:rsidP="00693238">
            <w:pPr>
              <w:pStyle w:val="En-tte"/>
              <w:spacing w:before="120" w:after="120"/>
              <w:jc w:val="center"/>
              <w:rPr>
                <w:b/>
                <w:bCs/>
              </w:rPr>
            </w:pPr>
            <w:r w:rsidRPr="006C7E7D">
              <w:rPr>
                <w:b/>
                <w:bCs/>
              </w:rPr>
              <w:t>MINISTERE DE LA SANTE</w:t>
            </w:r>
          </w:p>
          <w:p w14:paraId="2450FAA1" w14:textId="77777777" w:rsidR="004B59A0" w:rsidRPr="006C7E7D" w:rsidRDefault="004B59A0" w:rsidP="00693238">
            <w:pPr>
              <w:pStyle w:val="En-tte"/>
              <w:jc w:val="center"/>
              <w:rPr>
                <w:b/>
                <w:bCs/>
              </w:rPr>
            </w:pPr>
            <w:r w:rsidRPr="006C7E7D">
              <w:rPr>
                <w:b/>
                <w:bCs/>
              </w:rPr>
              <w:t>UNITE D'APPUI A LA GESTION ET A LA COORDINATION DES PROGRAMMES (UAGCP)</w:t>
            </w:r>
          </w:p>
          <w:p w14:paraId="51ABC8BB" w14:textId="77777777" w:rsidR="004B59A0" w:rsidRPr="006C7E7D" w:rsidRDefault="004B59A0" w:rsidP="00693238">
            <w:pPr>
              <w:pStyle w:val="En-tte"/>
              <w:jc w:val="center"/>
            </w:pPr>
          </w:p>
        </w:tc>
        <w:tc>
          <w:tcPr>
            <w:tcW w:w="1547" w:type="dxa"/>
            <w:shd w:val="clear" w:color="auto" w:fill="auto"/>
          </w:tcPr>
          <w:p w14:paraId="46408A65" w14:textId="77777777" w:rsidR="004B59A0" w:rsidRPr="006C7E7D" w:rsidRDefault="004B59A0" w:rsidP="00693238">
            <w:pPr>
              <w:pStyle w:val="En-tte"/>
              <w:jc w:val="center"/>
              <w:rPr>
                <w:sz w:val="28"/>
                <w:szCs w:val="28"/>
              </w:rPr>
            </w:pPr>
            <w:r w:rsidRPr="006C7E7D">
              <w:rPr>
                <w:noProof/>
                <w:sz w:val="28"/>
                <w:szCs w:val="28"/>
                <w:lang w:val="en-US" w:eastAsia="en-US"/>
              </w:rPr>
              <w:drawing>
                <wp:inline distT="0" distB="0" distL="0" distR="0" wp14:anchorId="08BE522C" wp14:editId="086314B7">
                  <wp:extent cx="74930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inline>
              </w:drawing>
            </w:r>
          </w:p>
        </w:tc>
      </w:tr>
      <w:bookmarkEnd w:id="0"/>
      <w:tr w:rsidR="004B59A0" w:rsidRPr="006C7E7D" w14:paraId="3F5E3509" w14:textId="77777777" w:rsidTr="0015577A">
        <w:trPr>
          <w:trHeight w:val="83"/>
        </w:trPr>
        <w:tc>
          <w:tcPr>
            <w:tcW w:w="3609" w:type="dxa"/>
            <w:gridSpan w:val="2"/>
            <w:shd w:val="clear" w:color="auto" w:fill="FF0000"/>
          </w:tcPr>
          <w:p w14:paraId="6116CF82" w14:textId="77777777" w:rsidR="004B59A0" w:rsidRPr="006C7E7D" w:rsidRDefault="004B59A0" w:rsidP="00693238">
            <w:pPr>
              <w:pStyle w:val="En-tte"/>
              <w:jc w:val="center"/>
              <w:rPr>
                <w:noProof/>
                <w:sz w:val="16"/>
                <w:szCs w:val="16"/>
              </w:rPr>
            </w:pPr>
          </w:p>
        </w:tc>
        <w:tc>
          <w:tcPr>
            <w:tcW w:w="3609" w:type="dxa"/>
            <w:shd w:val="clear" w:color="auto" w:fill="FFFF00"/>
          </w:tcPr>
          <w:p w14:paraId="43238990" w14:textId="77777777" w:rsidR="004B59A0" w:rsidRPr="006C7E7D" w:rsidRDefault="004B59A0" w:rsidP="00693238">
            <w:pPr>
              <w:pStyle w:val="En-tte"/>
              <w:jc w:val="center"/>
            </w:pPr>
          </w:p>
        </w:tc>
        <w:tc>
          <w:tcPr>
            <w:tcW w:w="3610" w:type="dxa"/>
            <w:gridSpan w:val="2"/>
            <w:shd w:val="clear" w:color="auto" w:fill="00B050"/>
          </w:tcPr>
          <w:p w14:paraId="45614343" w14:textId="77777777" w:rsidR="004B59A0" w:rsidRPr="006C7E7D" w:rsidRDefault="004B59A0" w:rsidP="00693238">
            <w:pPr>
              <w:pStyle w:val="En-tte"/>
              <w:rPr>
                <w:noProof/>
                <w:sz w:val="6"/>
                <w:szCs w:val="6"/>
              </w:rPr>
            </w:pPr>
          </w:p>
        </w:tc>
      </w:tr>
    </w:tbl>
    <w:p w14:paraId="1C256FFD" w14:textId="77777777" w:rsidR="004B59A0" w:rsidRPr="006C7E7D" w:rsidRDefault="004B59A0" w:rsidP="004B59A0">
      <w:pPr>
        <w:jc w:val="center"/>
        <w:rPr>
          <w:rFonts w:ascii="Times New Roman" w:hAnsi="Times New Roman"/>
          <w:b/>
          <w:bCs w:val="0"/>
          <w:sz w:val="28"/>
          <w:szCs w:val="28"/>
        </w:rPr>
      </w:pPr>
    </w:p>
    <w:p w14:paraId="63460EF4" w14:textId="5C999469" w:rsidR="004B59A0" w:rsidRPr="006C7E7D" w:rsidRDefault="00381BB8" w:rsidP="004B59A0">
      <w:pPr>
        <w:spacing w:line="276" w:lineRule="auto"/>
        <w:jc w:val="center"/>
        <w:rPr>
          <w:rFonts w:ascii="Times New Roman" w:hAnsi="Times New Roman"/>
          <w:b/>
        </w:rPr>
      </w:pPr>
      <w:r w:rsidRPr="006C7E7D">
        <w:rPr>
          <w:rFonts w:ascii="Times New Roman" w:hAnsi="Times New Roman"/>
          <w:b/>
        </w:rPr>
        <w:t xml:space="preserve">AVIS </w:t>
      </w:r>
      <w:r>
        <w:rPr>
          <w:rFonts w:ascii="Times New Roman" w:hAnsi="Times New Roman"/>
          <w:b/>
        </w:rPr>
        <w:t>D’APPEL A MANIFESTATION</w:t>
      </w:r>
      <w:r w:rsidRPr="006C7E7D">
        <w:rPr>
          <w:rFonts w:ascii="Times New Roman" w:hAnsi="Times New Roman"/>
          <w:b/>
        </w:rPr>
        <w:t xml:space="preserve"> D’INTERET N°0</w:t>
      </w:r>
      <w:r w:rsidR="00503C4D">
        <w:rPr>
          <w:rFonts w:ascii="Times New Roman" w:hAnsi="Times New Roman"/>
          <w:b/>
        </w:rPr>
        <w:t>36</w:t>
      </w:r>
      <w:r w:rsidRPr="006C7E7D">
        <w:rPr>
          <w:rFonts w:ascii="Times New Roman" w:hAnsi="Times New Roman"/>
          <w:b/>
        </w:rPr>
        <w:t>/2023/SI/AO</w:t>
      </w:r>
      <w:r w:rsidR="004B6DB5">
        <w:rPr>
          <w:rFonts w:ascii="Times New Roman" w:hAnsi="Times New Roman"/>
          <w:b/>
        </w:rPr>
        <w:t>N</w:t>
      </w:r>
      <w:r w:rsidRPr="006C7E7D">
        <w:rPr>
          <w:rFonts w:ascii="Times New Roman" w:hAnsi="Times New Roman"/>
          <w:b/>
        </w:rPr>
        <w:t>/</w:t>
      </w:r>
      <w:r w:rsidR="001B43FF">
        <w:rPr>
          <w:rFonts w:ascii="Times New Roman" w:hAnsi="Times New Roman"/>
          <w:b/>
        </w:rPr>
        <w:t>GAVI</w:t>
      </w:r>
      <w:r w:rsidRPr="006C7E7D">
        <w:rPr>
          <w:rFonts w:ascii="Times New Roman" w:hAnsi="Times New Roman"/>
          <w:b/>
        </w:rPr>
        <w:t>/UAGCP</w:t>
      </w:r>
    </w:p>
    <w:p w14:paraId="11B8A2E0" w14:textId="77777777" w:rsidR="004B59A0" w:rsidRPr="006C7E7D" w:rsidRDefault="004B59A0" w:rsidP="004B59A0">
      <w:pPr>
        <w:ind w:left="900" w:hanging="900"/>
        <w:jc w:val="both"/>
        <w:rPr>
          <w:rFonts w:ascii="Times New Roman" w:hAnsi="Times New Roman"/>
          <w:b/>
          <w:sz w:val="14"/>
          <w:szCs w:val="14"/>
          <w:lang w:val="fr-CA"/>
        </w:rPr>
      </w:pPr>
    </w:p>
    <w:p w14:paraId="734D24FE" w14:textId="644088B8" w:rsidR="004B59A0" w:rsidRDefault="004B59A0" w:rsidP="004B59A0">
      <w:pPr>
        <w:spacing w:after="120"/>
        <w:ind w:left="902" w:hanging="902"/>
        <w:jc w:val="both"/>
        <w:rPr>
          <w:rFonts w:ascii="Times New Roman" w:hAnsi="Times New Roman"/>
          <w:b/>
          <w:sz w:val="22"/>
          <w:szCs w:val="22"/>
          <w:lang w:val="fr-CA"/>
        </w:rPr>
      </w:pPr>
      <w:r w:rsidRPr="006C7E7D">
        <w:rPr>
          <w:rFonts w:ascii="Times New Roman" w:hAnsi="Times New Roman"/>
          <w:b/>
          <w:sz w:val="22"/>
          <w:szCs w:val="22"/>
          <w:u w:val="single"/>
          <w:lang w:val="fr-CA"/>
        </w:rPr>
        <w:t>TITRE</w:t>
      </w:r>
      <w:r w:rsidRPr="006C7E7D">
        <w:rPr>
          <w:rFonts w:ascii="Times New Roman" w:hAnsi="Times New Roman"/>
          <w:b/>
          <w:sz w:val="22"/>
          <w:szCs w:val="22"/>
          <w:lang w:val="fr-CA"/>
        </w:rPr>
        <w:t xml:space="preserve"> : </w:t>
      </w:r>
      <w:r w:rsidR="0015577A" w:rsidRPr="006C7E7D">
        <w:rPr>
          <w:rFonts w:ascii="Times New Roman" w:hAnsi="Times New Roman"/>
          <w:b/>
          <w:sz w:val="22"/>
          <w:szCs w:val="22"/>
          <w:lang w:val="fr-CA"/>
        </w:rPr>
        <w:t>RECRUTEMENT</w:t>
      </w:r>
      <w:r w:rsidR="00E40624">
        <w:rPr>
          <w:rFonts w:ascii="Times New Roman" w:hAnsi="Times New Roman"/>
          <w:b/>
          <w:sz w:val="22"/>
          <w:szCs w:val="22"/>
          <w:lang w:val="fr-CA"/>
        </w:rPr>
        <w:t xml:space="preserve"> </w:t>
      </w:r>
      <w:r w:rsidR="00E40624" w:rsidRPr="00E40624">
        <w:rPr>
          <w:rFonts w:ascii="Times New Roman" w:hAnsi="Times New Roman"/>
          <w:b/>
          <w:sz w:val="22"/>
          <w:szCs w:val="22"/>
          <w:lang w:val="fr-CA"/>
        </w:rPr>
        <w:t>D’UN</w:t>
      </w:r>
      <w:r w:rsidR="003619F8" w:rsidRPr="003619F8">
        <w:rPr>
          <w:rFonts w:ascii="Times New Roman" w:hAnsi="Times New Roman"/>
          <w:b/>
          <w:sz w:val="22"/>
          <w:szCs w:val="22"/>
          <w:lang w:val="fr-CA"/>
        </w:rPr>
        <w:t xml:space="preserve"> CONSULTANT </w:t>
      </w:r>
      <w:r w:rsidR="00D97DBA">
        <w:rPr>
          <w:rFonts w:ascii="Times New Roman" w:hAnsi="Times New Roman"/>
          <w:b/>
          <w:sz w:val="22"/>
          <w:szCs w:val="22"/>
          <w:lang w:val="fr-CA"/>
        </w:rPr>
        <w:t xml:space="preserve">INDIVIDUEL </w:t>
      </w:r>
      <w:r w:rsidR="003619F8" w:rsidRPr="003619F8">
        <w:rPr>
          <w:rFonts w:ascii="Times New Roman" w:hAnsi="Times New Roman"/>
          <w:b/>
          <w:sz w:val="22"/>
          <w:szCs w:val="22"/>
          <w:lang w:val="fr-CA"/>
        </w:rPr>
        <w:t xml:space="preserve">POUR </w:t>
      </w:r>
      <w:r w:rsidR="00503C4D" w:rsidRPr="00503C4D">
        <w:rPr>
          <w:rFonts w:ascii="Times New Roman" w:hAnsi="Times New Roman"/>
          <w:b/>
          <w:sz w:val="22"/>
          <w:szCs w:val="22"/>
          <w:lang w:val="fr-CA"/>
        </w:rPr>
        <w:t>ELABORATION ET DISSEMINATION DU PLAN STRATEGIQUE NATIONAL DE GESTION DES DECHETS ISSUS D’ACTIVITES DE SOINS (GDAS) 2024 – 2028</w:t>
      </w:r>
      <w:r w:rsidR="005C15BA">
        <w:rPr>
          <w:rFonts w:ascii="Times New Roman" w:hAnsi="Times New Roman"/>
          <w:b/>
          <w:sz w:val="22"/>
          <w:szCs w:val="22"/>
          <w:lang w:val="fr-CA"/>
        </w:rPr>
        <w:t>.</w:t>
      </w:r>
    </w:p>
    <w:p w14:paraId="758EF089" w14:textId="77777777" w:rsidR="003619F8" w:rsidRDefault="003619F8" w:rsidP="0015577A">
      <w:pPr>
        <w:ind w:left="902" w:hanging="902"/>
        <w:jc w:val="both"/>
        <w:rPr>
          <w:rFonts w:ascii="Times New Roman" w:hAnsi="Times New Roman"/>
          <w:b/>
          <w:bCs w:val="0"/>
          <w:sz w:val="22"/>
          <w:lang w:val="fr-CA"/>
        </w:rPr>
      </w:pPr>
      <w:bookmarkStart w:id="1" w:name="_Hlk86831500"/>
      <w:bookmarkStart w:id="2" w:name="_Hlk86754904"/>
    </w:p>
    <w:p w14:paraId="2EAD04A9" w14:textId="2A96C84D" w:rsidR="0015577A" w:rsidRPr="006C7E7D" w:rsidRDefault="0015577A" w:rsidP="0015577A">
      <w:pPr>
        <w:ind w:left="902" w:hanging="902"/>
        <w:jc w:val="both"/>
        <w:rPr>
          <w:rFonts w:ascii="Times New Roman" w:hAnsi="Times New Roman"/>
          <w:b/>
          <w:bCs w:val="0"/>
          <w:sz w:val="22"/>
        </w:rPr>
      </w:pPr>
      <w:r w:rsidRPr="006C7E7D">
        <w:rPr>
          <w:rFonts w:ascii="Times New Roman" w:hAnsi="Times New Roman"/>
          <w:b/>
          <w:bCs w:val="0"/>
          <w:sz w:val="22"/>
          <w:lang w:val="fr-CA"/>
        </w:rPr>
        <w:t>FINANCEMENT </w:t>
      </w:r>
      <w:r w:rsidRPr="006C7E7D">
        <w:rPr>
          <w:rFonts w:ascii="Times New Roman" w:hAnsi="Times New Roman"/>
          <w:b/>
          <w:bCs w:val="0"/>
          <w:sz w:val="22"/>
        </w:rPr>
        <w:t xml:space="preserve">: </w:t>
      </w:r>
      <w:r w:rsidR="004B6DB5">
        <w:rPr>
          <w:rFonts w:ascii="Times New Roman" w:hAnsi="Times New Roman"/>
          <w:b/>
          <w:bCs w:val="0"/>
          <w:sz w:val="22"/>
        </w:rPr>
        <w:t>GAVI</w:t>
      </w:r>
    </w:p>
    <w:bookmarkEnd w:id="1"/>
    <w:bookmarkEnd w:id="2"/>
    <w:p w14:paraId="3E98A13C" w14:textId="77777777" w:rsidR="0015577A" w:rsidRPr="006C7E7D" w:rsidRDefault="0015577A" w:rsidP="0015577A">
      <w:pPr>
        <w:pBdr>
          <w:top w:val="single" w:sz="4" w:space="1" w:color="auto"/>
        </w:pBdr>
        <w:tabs>
          <w:tab w:val="num" w:pos="720"/>
        </w:tabs>
        <w:jc w:val="both"/>
        <w:rPr>
          <w:rFonts w:ascii="Times New Roman" w:hAnsi="Times New Roman"/>
          <w:bCs w:val="0"/>
        </w:rPr>
      </w:pPr>
    </w:p>
    <w:p w14:paraId="5BD87595"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Les déchets d’activités de soins (DAS) constituent un problème sanitaire et environnemental. Ils comprennent tous les déchets issus des activités de diagnostic, de suivi, de traitements préventifs, curatifs et palliatifs dans le domaine de la médecine humaine et vétérinaire. Ils sont produits par les établissements de santé humaine, d’hygiène vétérinaire, de la recherche et d’enseignement médical, les laboratoires d’essai ou de recherche clinique et les établissements de production ou d’essai de vaccin [1]. </w:t>
      </w:r>
    </w:p>
    <w:p w14:paraId="1A23C7FF"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La gestion des déchets de soins médicaux prend de plus en plus de place dans les préoccupations de santé publique. Ainsi, l’élimination rationnelle des polluants est l’une des conditions essentielles du respect des règles d’hygiène, non seulement à l’intérieur des établissements, mais également dans l’environnement général [2]. </w:t>
      </w:r>
    </w:p>
    <w:p w14:paraId="69BC4692"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En 2015, il est ressorti d’une évaluation de l’OMS et de l’UNICEF qu’à peine plus de la moitié (58%) des établissements dans 24 pays sur lesquels a porté l’enquête, disposaient de systèmes adaptés pour éliminer les déchets liés aux soins de santé en toute sécurité. Par ailleurs, ces organisations estiment que quelques 16 milliards de seringues d’injections administrées par an, dans le monde entier, ne sont pas évacuées de manière appropriée [3]. </w:t>
      </w:r>
    </w:p>
    <w:p w14:paraId="76EC2D12"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L’estimation du taux de génération, c'est-à-dire la quantité de déchets produits par jour et par patient dépend de plusieurs facteurs ; des études ont montré que la moyenne de production varie d’un pays à un autre : </w:t>
      </w:r>
    </w:p>
    <w:p w14:paraId="5D8A0A2B" w14:textId="77777777" w:rsidR="00503C4D" w:rsidRPr="00503C4D" w:rsidRDefault="00503C4D" w:rsidP="009F08C0">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 </w:t>
      </w:r>
      <w:r w:rsidRPr="00503C4D">
        <w:rPr>
          <w:rFonts w:ascii="Times New Roman" w:hAnsi="Times New Roman"/>
          <w:sz w:val="22"/>
          <w:szCs w:val="22"/>
        </w:rPr>
        <w:tab/>
        <w:t xml:space="preserve">Elle classe l'Amérique du Nord en tête, avec un taux de production de 7 à 10 kg par lit de soins occupé par jour ; </w:t>
      </w:r>
    </w:p>
    <w:p w14:paraId="13B4EC90" w14:textId="6288EF9B"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 </w:t>
      </w:r>
      <w:r w:rsidRPr="00503C4D">
        <w:rPr>
          <w:rFonts w:ascii="Times New Roman" w:hAnsi="Times New Roman"/>
          <w:sz w:val="22"/>
          <w:szCs w:val="22"/>
        </w:rPr>
        <w:tab/>
        <w:t xml:space="preserve">En Europe de l'Ouest et en Amérique latine elle avoisine de 3 à 6 kg par lit de soins occupé par </w:t>
      </w:r>
      <w:r w:rsidR="00974CC8" w:rsidRPr="00503C4D">
        <w:rPr>
          <w:rFonts w:ascii="Times New Roman" w:hAnsi="Times New Roman"/>
          <w:sz w:val="22"/>
          <w:szCs w:val="22"/>
        </w:rPr>
        <w:t>jour ;</w:t>
      </w:r>
      <w:r w:rsidRPr="00503C4D">
        <w:rPr>
          <w:rFonts w:ascii="Times New Roman" w:hAnsi="Times New Roman"/>
          <w:sz w:val="22"/>
          <w:szCs w:val="22"/>
        </w:rPr>
        <w:t xml:space="preserve"> </w:t>
      </w:r>
    </w:p>
    <w:p w14:paraId="1EE41B18" w14:textId="3F17453E"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 </w:t>
      </w:r>
      <w:r w:rsidRPr="00503C4D">
        <w:rPr>
          <w:rFonts w:ascii="Times New Roman" w:hAnsi="Times New Roman"/>
          <w:sz w:val="22"/>
          <w:szCs w:val="22"/>
        </w:rPr>
        <w:tab/>
        <w:t xml:space="preserve">En l'Asie de l'Est, l'Europe de l'Est et du Moyen-Orient elle est de 1,3 à 4 kg par lit de soins occupé par jour. </w:t>
      </w:r>
    </w:p>
    <w:p w14:paraId="2AE84C79"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 xml:space="preserve"> </w:t>
      </w:r>
      <w:r w:rsidRPr="00503C4D">
        <w:rPr>
          <w:rFonts w:ascii="Times New Roman" w:hAnsi="Times New Roman"/>
          <w:sz w:val="22"/>
          <w:szCs w:val="22"/>
        </w:rPr>
        <w:tab/>
        <w:t>En Afrique, la politique de quantification des déchets issus des activités de soins n’est pas encore bien mise en œuvre.  Par contre, quelques données sur la quantification des DAS de certains pays sont disponibles, à savoir :</w:t>
      </w:r>
    </w:p>
    <w:p w14:paraId="2CCA8D9B"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 xml:space="preserve">Au Burkina Faso (précisément à Ouagadougou) la production annuelle de déchets de soins médicaux (DSM) à varie entre 270 et 320 tonnes ; </w:t>
      </w:r>
    </w:p>
    <w:p w14:paraId="71A7505E"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Au Bénin (Cotonou) elle est de 143,73 tonnes ;</w:t>
      </w:r>
    </w:p>
    <w:p w14:paraId="3AC316EB"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lastRenderedPageBreak/>
        <w:t></w:t>
      </w:r>
      <w:r w:rsidRPr="00503C4D">
        <w:rPr>
          <w:rFonts w:ascii="Times New Roman" w:hAnsi="Times New Roman"/>
          <w:sz w:val="22"/>
          <w:szCs w:val="22"/>
        </w:rPr>
        <w:tab/>
        <w:t xml:space="preserve">Pour les études réalisées dans les hôpitaux de Dakar, la production varie entre 14,12 et 76,84. </w:t>
      </w:r>
    </w:p>
    <w:p w14:paraId="6952F715"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Au Mali, la Direction Nationale de la santé (DNS) quantifie les déchets issus des activités de soins (généreux et dangereux) comme suit : (i) au niveau des centres de santé communautaire (CSCOM) et des cabinets de soins : 0,1 kg de déchets par malade et par jour, (ii) au niveau des centres de santé de référence (Cs réf) : 1 kg de déchets par lit et par jour, (iii) les hôpitaux (au niveau régional) : 2 kg de déchets par lit et par jour et (iv) les hôpitaux nationaux : 4 kg par lit et par jour [5].</w:t>
      </w:r>
    </w:p>
    <w:p w14:paraId="2EDDC5EF"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Pour le cas spécifique de la Guinée, un plan national de gestion des déchets biomédicaux a été élaboré en 2011, révisé en 2015 et qui caduque depuis 2019 n’a pas été mis à jour. La suppression de la Direction Nationale de l’Hygiène Publique en 2018 a lourdement impacté le suivi et la coordination de la mise en œuvre de ce plan. Du coup chaque entité productrice de déchets de soins (laboratoires de santé humaine et vétérinaire, les pharmacies etc.) élaborait des documents ou outils de gestion de manière disparate. Ce qui a conduit l’élaboration en 2022 respectivement par les Directions Nationales de la Pharmacie et du Médicament et celle des laboratoires à élaborer les plans et guides de gestion spécifiques aux produits pharmaceutiques hors usages et de laboratoires. Ces outils n’intégraient pas la problématique de gestion des déchets anatomiques, de vaccination et autres types issus de la riposte aux épidémies. Avec la remise de la DNHP dans le portefeuille du MSHP, dont la principale mission est la coordination et le suivi de la mise en œuvre de la politique du gouvernement dans le cadre de l’hygiène publique a constaté lors de la récente supervision sur la disponibilité et l’état de fonctionnement des équipements d’élimination des déchets dans quarante-sept (47) formations sanitaires (FOSA) publiques dans les Régions Sanitaires (RS) de Boké, Labé et Faranah menée par les cadres de la DNHP et du SNIEM, sous le financement de l’UAGCP/GAVI, ce qui suit :</w:t>
      </w:r>
    </w:p>
    <w:p w14:paraId="0CFF2B7B"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15 FOSA disposent d’incinérateur ;</w:t>
      </w:r>
    </w:p>
    <w:p w14:paraId="3433D65D"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8 FOSA disposent de brûleur ;</w:t>
      </w:r>
    </w:p>
    <w:p w14:paraId="43B38EF8"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0 broyeur/briseur de verres dans toutes ces 47 FOSA visitées ;</w:t>
      </w:r>
    </w:p>
    <w:p w14:paraId="5A808A1F"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24 FOSA n’ont ni de brûleur ni d’incinérateur ;</w:t>
      </w:r>
    </w:p>
    <w:p w14:paraId="103FB2C9"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15 FOSA ont leur équipement d’élimination (brûleur/incinérateur) non fonctionnel (en panne) [6].</w:t>
      </w:r>
    </w:p>
    <w:p w14:paraId="76BA9598"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La quasi-totalité des structures privées confient la gestion de leurs déchets aux entreprises (PME) non spécialisées dans le domaine et qui les déversent à la décharge publique aggravant les risques d’exposition environnementale.</w:t>
      </w:r>
    </w:p>
    <w:p w14:paraId="6F09DA7B"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L’absence de support fédérateur au niveau opérationnel pour une gestion sécurisé ;</w:t>
      </w:r>
    </w:p>
    <w:p w14:paraId="680FA109"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L’absence de données quantitatives sur la gestion des déchets ;</w:t>
      </w:r>
    </w:p>
    <w:p w14:paraId="3AA1B5F4"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La multiplicité des types d’équipements d’élimination de déchets non respectueux de l’environnement et du cadre de vie des usagers et prestataires de service de soins</w:t>
      </w:r>
    </w:p>
    <w:p w14:paraId="68CE29C1"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Le faible niveau de formation des agents de gestions des déchets et même des manipulateurs de dispositifs de gestion des déchets</w:t>
      </w:r>
    </w:p>
    <w:p w14:paraId="4824C254"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w:t>
      </w:r>
      <w:r w:rsidRPr="00503C4D">
        <w:rPr>
          <w:rFonts w:ascii="Times New Roman" w:hAnsi="Times New Roman"/>
          <w:sz w:val="22"/>
          <w:szCs w:val="22"/>
        </w:rPr>
        <w:tab/>
        <w:t>La non maitrise des rôles et responsabilités des acteurs évoluant dans la GDAS ;</w:t>
      </w:r>
    </w:p>
    <w:p w14:paraId="453FFBF6" w14:textId="77777777" w:rsidR="00503C4D" w:rsidRPr="00503C4D"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Par ailleurs, dans le cadre de la gestion des déchets issus des activités de riposte contre les épidémies, l’Organisation Ouest Africaine de la Santé (OOAS) a élaboré un plan intégré et harmonisé suite à une évaluation de la gestion des déchets de soins dans les pays membres et a fortement recommandé la contextualisation de cet outil par lesdits pays.</w:t>
      </w:r>
    </w:p>
    <w:p w14:paraId="40F3ACA0" w14:textId="7752F3B4" w:rsidR="003619F8" w:rsidRPr="003619F8" w:rsidRDefault="00503C4D" w:rsidP="00503C4D">
      <w:pPr>
        <w:tabs>
          <w:tab w:val="num" w:pos="720"/>
        </w:tabs>
        <w:spacing w:before="120"/>
        <w:jc w:val="both"/>
        <w:rPr>
          <w:rFonts w:ascii="Times New Roman" w:hAnsi="Times New Roman"/>
          <w:sz w:val="22"/>
          <w:szCs w:val="22"/>
        </w:rPr>
      </w:pPr>
      <w:r w:rsidRPr="00503C4D">
        <w:rPr>
          <w:rFonts w:ascii="Times New Roman" w:hAnsi="Times New Roman"/>
          <w:sz w:val="22"/>
          <w:szCs w:val="22"/>
        </w:rPr>
        <w:t>Au regard de tout ce qui précède, le MSHP à travers la DNHP qui a pour mandat la gestion sécurisée des déchets issus d’activités de soins, envisage l’élaboration d’un Plan National de gestion des déchets issus d’Activités de soins intégrant les nouvelles évidences de l’Organisation Ouest Africaine de la Santé (OOAS), l’évolution du contexte épidémiologique du pays tout en prenant en compte l’approche One Heath pour une durée de 5 années à travers les services d’un consultant.</w:t>
      </w:r>
      <w:r w:rsidR="003619F8" w:rsidRPr="003619F8">
        <w:rPr>
          <w:rFonts w:ascii="Times New Roman" w:hAnsi="Times New Roman"/>
          <w:sz w:val="22"/>
          <w:szCs w:val="22"/>
        </w:rPr>
        <w:t xml:space="preserve"> </w:t>
      </w:r>
    </w:p>
    <w:p w14:paraId="278A3C3E" w14:textId="223B1447" w:rsidR="00285720" w:rsidRDefault="0015577A" w:rsidP="0015577A">
      <w:pPr>
        <w:tabs>
          <w:tab w:val="num" w:pos="720"/>
        </w:tabs>
        <w:spacing w:before="120"/>
        <w:jc w:val="both"/>
        <w:rPr>
          <w:rFonts w:ascii="Times New Roman" w:hAnsi="Times New Roman"/>
          <w:sz w:val="22"/>
          <w:szCs w:val="22"/>
        </w:rPr>
      </w:pPr>
      <w:r w:rsidRPr="006C7E7D">
        <w:rPr>
          <w:rFonts w:ascii="Times New Roman" w:hAnsi="Times New Roman"/>
          <w:sz w:val="22"/>
          <w:szCs w:val="22"/>
        </w:rPr>
        <w:lastRenderedPageBreak/>
        <w:t xml:space="preserve">La participation à la concurrence est ouverte à égalité de conditions à tous les consultants individuels de qualification et expertise suffisantes exigées par type de consultance. </w:t>
      </w:r>
    </w:p>
    <w:p w14:paraId="5E290BE4" w14:textId="6E3A8635" w:rsidR="0015577A" w:rsidRPr="006C7E7D" w:rsidRDefault="0015577A" w:rsidP="00EB13A2">
      <w:pPr>
        <w:tabs>
          <w:tab w:val="num" w:pos="720"/>
        </w:tabs>
        <w:spacing w:before="120"/>
        <w:jc w:val="both"/>
        <w:rPr>
          <w:rFonts w:ascii="Times New Roman" w:hAnsi="Times New Roman"/>
          <w:sz w:val="22"/>
          <w:szCs w:val="22"/>
        </w:rPr>
      </w:pPr>
      <w:r w:rsidRPr="006C7E7D">
        <w:rPr>
          <w:rFonts w:ascii="Times New Roman" w:hAnsi="Times New Roman"/>
          <w:sz w:val="22"/>
          <w:szCs w:val="22"/>
        </w:rPr>
        <w:t>Les candidats intéressés sont invités à manifester leur intérêt pour la prestation des services décrits dans les Termes de référence dont la copie est obtenue sur demande envoyée à l’adresse électronique suivant</w:t>
      </w:r>
      <w:r w:rsidR="002147B4">
        <w:rPr>
          <w:rFonts w:ascii="Times New Roman" w:hAnsi="Times New Roman"/>
          <w:sz w:val="22"/>
          <w:szCs w:val="22"/>
        </w:rPr>
        <w:t>e</w:t>
      </w:r>
      <w:r w:rsidRPr="006C7E7D">
        <w:rPr>
          <w:rFonts w:ascii="Times New Roman" w:hAnsi="Times New Roman"/>
          <w:sz w:val="22"/>
          <w:szCs w:val="22"/>
        </w:rPr>
        <w:t xml:space="preserve"> :  </w:t>
      </w:r>
      <w:hyperlink r:id="rId9" w:history="1">
        <w:r w:rsidRPr="006C7E7D">
          <w:rPr>
            <w:rStyle w:val="Lienhypertexte"/>
            <w:rFonts w:ascii="Times New Roman" w:hAnsi="Times New Roman"/>
            <w:sz w:val="22"/>
            <w:szCs w:val="22"/>
          </w:rPr>
          <w:t>tenders.uagcp@gmail.com</w:t>
        </w:r>
      </w:hyperlink>
      <w:r w:rsidRPr="006C7E7D">
        <w:rPr>
          <w:rStyle w:val="Lienhypertexte"/>
          <w:rFonts w:ascii="Times New Roman" w:hAnsi="Times New Roman"/>
          <w:sz w:val="22"/>
          <w:szCs w:val="22"/>
          <w:u w:val="none"/>
        </w:rPr>
        <w:t xml:space="preserve">   </w:t>
      </w:r>
      <w:r w:rsidRPr="006C7E7D">
        <w:rPr>
          <w:rStyle w:val="Lienhypertexte"/>
          <w:rFonts w:ascii="Times New Roman" w:hAnsi="Times New Roman"/>
          <w:color w:val="auto"/>
          <w:sz w:val="22"/>
          <w:szCs w:val="22"/>
        </w:rPr>
        <w:t xml:space="preserve">avec précision sur la(les) consultance(s). </w:t>
      </w:r>
      <w:r w:rsidRPr="006C7E7D">
        <w:rPr>
          <w:rFonts w:ascii="Times New Roman" w:hAnsi="Times New Roman"/>
          <w:sz w:val="22"/>
          <w:szCs w:val="22"/>
        </w:rPr>
        <w:t xml:space="preserve"> </w:t>
      </w:r>
    </w:p>
    <w:p w14:paraId="6227BBDE" w14:textId="5D49EB03" w:rsidR="00BE150F" w:rsidRPr="006C7E7D" w:rsidRDefault="00BE150F" w:rsidP="00BE150F">
      <w:pPr>
        <w:tabs>
          <w:tab w:val="num" w:pos="720"/>
        </w:tabs>
        <w:spacing w:before="240"/>
        <w:jc w:val="both"/>
        <w:rPr>
          <w:rFonts w:ascii="Times New Roman" w:hAnsi="Times New Roman"/>
          <w:sz w:val="22"/>
          <w:szCs w:val="22"/>
        </w:rPr>
      </w:pPr>
      <w:r w:rsidRPr="006C7E7D">
        <w:rPr>
          <w:rFonts w:ascii="Times New Roman" w:hAnsi="Times New Roman"/>
          <w:sz w:val="22"/>
          <w:szCs w:val="22"/>
        </w:rPr>
        <w:t xml:space="preserve">Il est demandé aux candidats de fournir les informations indiquant qu’ils sont qualifiés pour exécuter les services décrits, dans leurs dossiers de manifestation d’intérêt préparés et présentés </w:t>
      </w:r>
      <w:r w:rsidR="00BE7869">
        <w:rPr>
          <w:rFonts w:ascii="Times New Roman" w:hAnsi="Times New Roman"/>
          <w:sz w:val="22"/>
          <w:szCs w:val="22"/>
        </w:rPr>
        <w:t xml:space="preserve">séparément </w:t>
      </w:r>
      <w:r w:rsidRPr="006C7E7D">
        <w:rPr>
          <w:rFonts w:ascii="Times New Roman" w:hAnsi="Times New Roman"/>
          <w:sz w:val="22"/>
          <w:szCs w:val="22"/>
        </w:rPr>
        <w:t>comme suit </w:t>
      </w:r>
      <w:r w:rsidR="002E189A">
        <w:rPr>
          <w:rFonts w:ascii="Times New Roman" w:hAnsi="Times New Roman"/>
          <w:sz w:val="22"/>
          <w:szCs w:val="22"/>
        </w:rPr>
        <w:t>(sous</w:t>
      </w:r>
      <w:r w:rsidR="00503C4D">
        <w:rPr>
          <w:rFonts w:ascii="Times New Roman" w:hAnsi="Times New Roman"/>
          <w:sz w:val="22"/>
          <w:szCs w:val="22"/>
        </w:rPr>
        <w:t xml:space="preserve"> </w:t>
      </w:r>
      <w:r w:rsidR="002E189A">
        <w:rPr>
          <w:rFonts w:ascii="Times New Roman" w:hAnsi="Times New Roman"/>
          <w:sz w:val="22"/>
          <w:szCs w:val="22"/>
        </w:rPr>
        <w:t>peine</w:t>
      </w:r>
      <w:r w:rsidR="00503C4D">
        <w:rPr>
          <w:rFonts w:ascii="Times New Roman" w:hAnsi="Times New Roman"/>
          <w:sz w:val="22"/>
          <w:szCs w:val="22"/>
        </w:rPr>
        <w:t xml:space="preserve"> d’exclusion de l’offre</w:t>
      </w:r>
      <w:r w:rsidR="002E189A">
        <w:rPr>
          <w:rFonts w:ascii="Times New Roman" w:hAnsi="Times New Roman"/>
          <w:sz w:val="22"/>
          <w:szCs w:val="22"/>
        </w:rPr>
        <w:t>)</w:t>
      </w:r>
      <w:r w:rsidR="002E189A" w:rsidRPr="006C7E7D">
        <w:rPr>
          <w:rFonts w:ascii="Times New Roman" w:hAnsi="Times New Roman"/>
          <w:sz w:val="22"/>
          <w:szCs w:val="22"/>
        </w:rPr>
        <w:t xml:space="preserve"> :</w:t>
      </w:r>
    </w:p>
    <w:p w14:paraId="295F1A01" w14:textId="77777777" w:rsidR="00BE150F" w:rsidRPr="006C7E7D" w:rsidRDefault="00BE150F" w:rsidP="00BE150F">
      <w:pPr>
        <w:numPr>
          <w:ilvl w:val="0"/>
          <w:numId w:val="2"/>
        </w:numPr>
        <w:tabs>
          <w:tab w:val="num" w:pos="720"/>
        </w:tabs>
        <w:spacing w:before="120"/>
        <w:ind w:left="714" w:hanging="357"/>
        <w:jc w:val="both"/>
        <w:rPr>
          <w:rFonts w:ascii="Times New Roman" w:hAnsi="Times New Roman"/>
          <w:sz w:val="22"/>
          <w:szCs w:val="22"/>
          <w:lang w:val="fr-CA"/>
        </w:rPr>
      </w:pPr>
      <w:r w:rsidRPr="006C7E7D">
        <w:rPr>
          <w:rFonts w:ascii="Times New Roman" w:hAnsi="Times New Roman"/>
          <w:b/>
          <w:sz w:val="22"/>
          <w:szCs w:val="22"/>
          <w:u w:val="single"/>
        </w:rPr>
        <w:t>Proposition technique :</w:t>
      </w:r>
      <w:r w:rsidRPr="006C7E7D">
        <w:rPr>
          <w:rFonts w:ascii="Times New Roman" w:hAnsi="Times New Roman"/>
          <w:sz w:val="22"/>
          <w:szCs w:val="22"/>
        </w:rPr>
        <w:t xml:space="preserve"> comprenant la lettre de motivation/note explicative, </w:t>
      </w:r>
      <w:r w:rsidRPr="006C7E7D">
        <w:rPr>
          <w:rFonts w:ascii="Times New Roman" w:hAnsi="Times New Roman"/>
          <w:sz w:val="22"/>
          <w:szCs w:val="22"/>
          <w:lang w:val="fr-CA"/>
        </w:rPr>
        <w:t xml:space="preserve">l’approche méthodologique détaillée, le plan du travail et chronogramme détaillés, le CV bien détaillé et actualisé </w:t>
      </w:r>
      <w:bookmarkStart w:id="3" w:name="_Hlk82781144"/>
      <w:r w:rsidRPr="006C7E7D">
        <w:rPr>
          <w:rFonts w:ascii="Times New Roman" w:hAnsi="Times New Roman"/>
          <w:sz w:val="22"/>
          <w:szCs w:val="22"/>
          <w:lang w:val="fr-CA"/>
        </w:rPr>
        <w:t xml:space="preserve">décrivant au mieux l’expertise du consultant avec les copies des diplômes et certificats professionnels, ainsi que les références similaires avec attestations de service rendus, satisfecit et/ou recommandations. </w:t>
      </w:r>
      <w:bookmarkEnd w:id="3"/>
    </w:p>
    <w:p w14:paraId="4075507C" w14:textId="77777777" w:rsidR="00BE150F" w:rsidRPr="006C7E7D" w:rsidRDefault="00BE150F" w:rsidP="00BE150F">
      <w:pPr>
        <w:numPr>
          <w:ilvl w:val="0"/>
          <w:numId w:val="2"/>
        </w:numPr>
        <w:tabs>
          <w:tab w:val="num" w:pos="720"/>
        </w:tabs>
        <w:spacing w:before="120"/>
        <w:ind w:left="714" w:hanging="357"/>
        <w:jc w:val="both"/>
        <w:rPr>
          <w:rFonts w:ascii="Times New Roman" w:hAnsi="Times New Roman"/>
          <w:sz w:val="22"/>
          <w:szCs w:val="22"/>
        </w:rPr>
      </w:pPr>
      <w:r w:rsidRPr="006C7E7D">
        <w:rPr>
          <w:rFonts w:ascii="Times New Roman" w:hAnsi="Times New Roman"/>
          <w:b/>
          <w:sz w:val="22"/>
          <w:szCs w:val="22"/>
          <w:u w:val="single"/>
          <w:lang w:val="fr-CA"/>
        </w:rPr>
        <w:t>Proposition</w:t>
      </w:r>
      <w:r w:rsidRPr="006C7E7D">
        <w:rPr>
          <w:rFonts w:ascii="Times New Roman" w:hAnsi="Times New Roman"/>
          <w:b/>
          <w:sz w:val="22"/>
          <w:szCs w:val="22"/>
          <w:u w:val="single"/>
        </w:rPr>
        <w:t xml:space="preserve"> financière </w:t>
      </w:r>
      <w:r w:rsidRPr="006C7E7D">
        <w:rPr>
          <w:rFonts w:ascii="Times New Roman" w:hAnsi="Times New Roman"/>
          <w:sz w:val="22"/>
          <w:szCs w:val="22"/>
        </w:rPr>
        <w:t xml:space="preserve">: incluant tous </w:t>
      </w:r>
      <w:bookmarkStart w:id="4" w:name="_Hlk82781605"/>
      <w:r w:rsidRPr="006C7E7D">
        <w:rPr>
          <w:rFonts w:ascii="Times New Roman" w:hAnsi="Times New Roman"/>
          <w:sz w:val="22"/>
          <w:szCs w:val="22"/>
        </w:rPr>
        <w:t xml:space="preserve">les coûts afférents à la mission comprenant les honoraires </w:t>
      </w:r>
      <w:proofErr w:type="gramStart"/>
      <w:r w:rsidRPr="006C7E7D">
        <w:rPr>
          <w:rFonts w:ascii="Times New Roman" w:hAnsi="Times New Roman"/>
          <w:sz w:val="22"/>
          <w:szCs w:val="22"/>
        </w:rPr>
        <w:t>et</w:t>
      </w:r>
      <w:proofErr w:type="gramEnd"/>
      <w:r w:rsidRPr="006C7E7D">
        <w:rPr>
          <w:rFonts w:ascii="Times New Roman" w:hAnsi="Times New Roman"/>
          <w:sz w:val="22"/>
          <w:szCs w:val="22"/>
        </w:rPr>
        <w:t xml:space="preserve"> </w:t>
      </w:r>
      <w:r w:rsidRPr="006C7E7D">
        <w:rPr>
          <w:rFonts w:ascii="Times New Roman" w:hAnsi="Times New Roman"/>
          <w:bCs w:val="0"/>
          <w:sz w:val="22"/>
          <w:szCs w:val="22"/>
        </w:rPr>
        <w:t>éventuellement les autres coûts remboursables nécessaires. A noter que la proposition fi</w:t>
      </w:r>
      <w:r w:rsidRPr="006C7E7D">
        <w:rPr>
          <w:rFonts w:ascii="Times New Roman" w:hAnsi="Times New Roman"/>
          <w:sz w:val="22"/>
          <w:szCs w:val="22"/>
        </w:rPr>
        <w:t xml:space="preserve">nancière doit être libellée hors TVA car le projet est exonéré de la TVA et que le Consultant sera assujetti à la fiscalité applicable en République de Guinée.  </w:t>
      </w:r>
    </w:p>
    <w:bookmarkEnd w:id="4"/>
    <w:p w14:paraId="131B2A94" w14:textId="77777777" w:rsidR="003619F8" w:rsidRDefault="003619F8" w:rsidP="003619F8">
      <w:pPr>
        <w:tabs>
          <w:tab w:val="num" w:pos="720"/>
        </w:tabs>
        <w:jc w:val="both"/>
        <w:rPr>
          <w:rFonts w:ascii="Times New Roman" w:hAnsi="Times New Roman"/>
          <w:bCs w:val="0"/>
          <w:sz w:val="22"/>
          <w:szCs w:val="22"/>
        </w:rPr>
      </w:pPr>
    </w:p>
    <w:p w14:paraId="14FC0999" w14:textId="6712E866" w:rsidR="003619F8" w:rsidRPr="003619F8" w:rsidRDefault="003619F8" w:rsidP="003619F8">
      <w:pPr>
        <w:tabs>
          <w:tab w:val="num" w:pos="720"/>
        </w:tabs>
        <w:jc w:val="both"/>
        <w:rPr>
          <w:rFonts w:ascii="Times New Roman" w:hAnsi="Times New Roman"/>
          <w:bCs w:val="0"/>
          <w:sz w:val="22"/>
          <w:szCs w:val="22"/>
        </w:rPr>
      </w:pPr>
      <w:r w:rsidRPr="003619F8">
        <w:rPr>
          <w:rFonts w:ascii="Times New Roman" w:hAnsi="Times New Roman"/>
          <w:bCs w:val="0"/>
          <w:sz w:val="22"/>
          <w:szCs w:val="22"/>
        </w:rPr>
        <w:t xml:space="preserve">Le candidat sera sélectionné </w:t>
      </w:r>
      <w:bookmarkStart w:id="5" w:name="_Hlk69233516"/>
      <w:r w:rsidRPr="003619F8">
        <w:rPr>
          <w:rFonts w:ascii="Times New Roman" w:hAnsi="Times New Roman"/>
          <w:bCs w:val="0"/>
          <w:sz w:val="22"/>
          <w:szCs w:val="22"/>
        </w:rPr>
        <w:t xml:space="preserve">basé sur la qualification du consultant (voir </w:t>
      </w:r>
      <w:proofErr w:type="spellStart"/>
      <w:r w:rsidRPr="003619F8">
        <w:rPr>
          <w:rFonts w:ascii="Times New Roman" w:hAnsi="Times New Roman"/>
          <w:bCs w:val="0"/>
          <w:sz w:val="22"/>
          <w:szCs w:val="22"/>
        </w:rPr>
        <w:t>TdRs</w:t>
      </w:r>
      <w:proofErr w:type="spellEnd"/>
      <w:r w:rsidRPr="003619F8">
        <w:rPr>
          <w:rFonts w:ascii="Times New Roman" w:hAnsi="Times New Roman"/>
          <w:bCs w:val="0"/>
          <w:sz w:val="22"/>
          <w:szCs w:val="22"/>
        </w:rPr>
        <w:t xml:space="preserve">).  </w:t>
      </w:r>
      <w:bookmarkEnd w:id="5"/>
    </w:p>
    <w:p w14:paraId="0874BEC5" w14:textId="76A2418E" w:rsidR="0015577A" w:rsidRDefault="0015577A" w:rsidP="0015577A">
      <w:pPr>
        <w:tabs>
          <w:tab w:val="num" w:pos="720"/>
        </w:tabs>
        <w:jc w:val="both"/>
        <w:rPr>
          <w:rFonts w:ascii="Times New Roman" w:hAnsi="Times New Roman"/>
          <w:bCs w:val="0"/>
          <w:sz w:val="22"/>
          <w:szCs w:val="22"/>
        </w:rPr>
      </w:pPr>
    </w:p>
    <w:p w14:paraId="01C736F4" w14:textId="460A2A70" w:rsidR="0015577A" w:rsidRDefault="0015577A" w:rsidP="0015577A">
      <w:pPr>
        <w:tabs>
          <w:tab w:val="num" w:pos="720"/>
        </w:tabs>
        <w:jc w:val="both"/>
        <w:rPr>
          <w:rFonts w:ascii="Times New Roman" w:hAnsi="Times New Roman"/>
          <w:b/>
          <w:bCs w:val="0"/>
          <w:sz w:val="22"/>
          <w:szCs w:val="22"/>
        </w:rPr>
      </w:pPr>
      <w:r w:rsidRPr="006C7E7D">
        <w:rPr>
          <w:rFonts w:ascii="Times New Roman" w:hAnsi="Times New Roman"/>
          <w:bCs w:val="0"/>
          <w:sz w:val="22"/>
          <w:szCs w:val="22"/>
        </w:rPr>
        <w:t xml:space="preserve">Les propositions établies en langue française en deux exemplaires dont un (1) original et une (1) copie doivent être </w:t>
      </w:r>
      <w:bookmarkStart w:id="6" w:name="_Hlk529875144"/>
      <w:r w:rsidRPr="006C7E7D">
        <w:rPr>
          <w:rFonts w:ascii="Times New Roman" w:hAnsi="Times New Roman"/>
          <w:bCs w:val="0"/>
          <w:sz w:val="22"/>
          <w:szCs w:val="22"/>
        </w:rPr>
        <w:t xml:space="preserve">déposées </w:t>
      </w:r>
      <w:r w:rsidRPr="006C7E7D">
        <w:rPr>
          <w:rFonts w:ascii="Times New Roman" w:hAnsi="Times New Roman"/>
          <w:b/>
          <w:bCs w:val="0"/>
          <w:iCs/>
          <w:sz w:val="22"/>
          <w:szCs w:val="22"/>
        </w:rPr>
        <w:t>auprès du Service de Passation des marchés de l’UAGCP sis au 3</w:t>
      </w:r>
      <w:r w:rsidRPr="006C7E7D">
        <w:rPr>
          <w:rFonts w:ascii="Times New Roman" w:hAnsi="Times New Roman"/>
          <w:b/>
          <w:bCs w:val="0"/>
          <w:iCs/>
          <w:sz w:val="22"/>
          <w:szCs w:val="22"/>
          <w:vertAlign w:val="superscript"/>
        </w:rPr>
        <w:t>ème</w:t>
      </w:r>
      <w:r w:rsidRPr="006C7E7D">
        <w:rPr>
          <w:rFonts w:ascii="Times New Roman" w:hAnsi="Times New Roman"/>
          <w:b/>
          <w:bCs w:val="0"/>
          <w:iCs/>
          <w:sz w:val="22"/>
          <w:szCs w:val="22"/>
        </w:rPr>
        <w:t xml:space="preserve"> étage de l’immeuble Palm Résidence Camayenne, corniche nord de Dixinn, à côté de la clinique Ambroise Paré</w:t>
      </w:r>
      <w:r w:rsidRPr="006C7E7D">
        <w:rPr>
          <w:rFonts w:ascii="Times New Roman" w:hAnsi="Times New Roman"/>
          <w:bCs w:val="0"/>
          <w:sz w:val="22"/>
          <w:szCs w:val="22"/>
        </w:rPr>
        <w:t xml:space="preserve">, au plus tard le </w:t>
      </w:r>
      <w:r w:rsidR="004E6EAB">
        <w:rPr>
          <w:rFonts w:ascii="Times New Roman" w:hAnsi="Times New Roman"/>
          <w:b/>
          <w:color w:val="FF0000"/>
          <w:u w:val="single"/>
        </w:rPr>
        <w:t>Jeu</w:t>
      </w:r>
      <w:r w:rsidRPr="005A1845">
        <w:rPr>
          <w:rFonts w:ascii="Times New Roman" w:hAnsi="Times New Roman"/>
          <w:b/>
          <w:color w:val="FF0000"/>
          <w:u w:val="single"/>
        </w:rPr>
        <w:t xml:space="preserve">di </w:t>
      </w:r>
      <w:r w:rsidR="00F87DF0">
        <w:rPr>
          <w:rFonts w:ascii="Times New Roman" w:hAnsi="Times New Roman"/>
          <w:b/>
          <w:color w:val="FF0000"/>
          <w:u w:val="single"/>
        </w:rPr>
        <w:t>2</w:t>
      </w:r>
      <w:r w:rsidR="00514CB7">
        <w:rPr>
          <w:rFonts w:ascii="Times New Roman" w:hAnsi="Times New Roman"/>
          <w:b/>
          <w:color w:val="FF0000"/>
          <w:u w:val="single"/>
        </w:rPr>
        <w:t>6</w:t>
      </w:r>
      <w:r w:rsidRPr="005A1845">
        <w:rPr>
          <w:rFonts w:ascii="Times New Roman" w:hAnsi="Times New Roman"/>
          <w:b/>
          <w:color w:val="FF0000"/>
          <w:u w:val="single"/>
        </w:rPr>
        <w:t>/</w:t>
      </w:r>
      <w:r w:rsidR="00514CB7">
        <w:rPr>
          <w:rFonts w:ascii="Times New Roman" w:hAnsi="Times New Roman"/>
          <w:b/>
          <w:color w:val="FF0000"/>
          <w:u w:val="single"/>
        </w:rPr>
        <w:t>1</w:t>
      </w:r>
      <w:r w:rsidR="00F87DF0">
        <w:rPr>
          <w:rFonts w:ascii="Times New Roman" w:hAnsi="Times New Roman"/>
          <w:b/>
          <w:color w:val="FF0000"/>
          <w:u w:val="single"/>
        </w:rPr>
        <w:t>2</w:t>
      </w:r>
      <w:r w:rsidRPr="005A1845">
        <w:rPr>
          <w:rFonts w:ascii="Times New Roman" w:hAnsi="Times New Roman"/>
          <w:b/>
          <w:color w:val="FF0000"/>
          <w:u w:val="single"/>
        </w:rPr>
        <w:t>/2023</w:t>
      </w:r>
      <w:r w:rsidRPr="005A1845">
        <w:rPr>
          <w:rFonts w:ascii="Times New Roman" w:hAnsi="Times New Roman"/>
          <w:b/>
          <w:bCs w:val="0"/>
          <w:color w:val="FF0000"/>
        </w:rPr>
        <w:t xml:space="preserve"> </w:t>
      </w:r>
      <w:r w:rsidRPr="006C7E7D">
        <w:rPr>
          <w:rFonts w:ascii="Times New Roman" w:hAnsi="Times New Roman"/>
          <w:b/>
          <w:bCs w:val="0"/>
          <w:sz w:val="22"/>
          <w:szCs w:val="22"/>
        </w:rPr>
        <w:t>à 11H00 précises, heure locale</w:t>
      </w:r>
      <w:bookmarkEnd w:id="6"/>
      <w:r w:rsidRPr="006C7E7D">
        <w:rPr>
          <w:rFonts w:ascii="Times New Roman" w:hAnsi="Times New Roman"/>
          <w:b/>
          <w:bCs w:val="0"/>
          <w:sz w:val="22"/>
          <w:szCs w:val="22"/>
        </w:rPr>
        <w:t>.</w:t>
      </w:r>
    </w:p>
    <w:p w14:paraId="497B295F" w14:textId="77777777" w:rsidR="00BE7869" w:rsidRPr="006C7E7D" w:rsidRDefault="00BE7869" w:rsidP="0015577A">
      <w:pPr>
        <w:tabs>
          <w:tab w:val="num" w:pos="720"/>
        </w:tabs>
        <w:jc w:val="both"/>
        <w:rPr>
          <w:rFonts w:ascii="Times New Roman" w:hAnsi="Times New Roman"/>
          <w:b/>
          <w:bCs w:val="0"/>
          <w:sz w:val="22"/>
          <w:szCs w:val="22"/>
        </w:rPr>
      </w:pPr>
    </w:p>
    <w:p w14:paraId="5293E8A2" w14:textId="03D09370" w:rsidR="0015577A" w:rsidRPr="008B3393" w:rsidRDefault="00BE7869" w:rsidP="0015577A">
      <w:pPr>
        <w:tabs>
          <w:tab w:val="num" w:pos="720"/>
        </w:tabs>
        <w:jc w:val="both"/>
        <w:rPr>
          <w:rFonts w:ascii="Times New Roman" w:hAnsi="Times New Roman"/>
          <w:sz w:val="22"/>
          <w:szCs w:val="22"/>
        </w:rPr>
      </w:pPr>
      <w:r w:rsidRPr="008B3393">
        <w:rPr>
          <w:rFonts w:ascii="Times New Roman" w:hAnsi="Times New Roman"/>
          <w:sz w:val="22"/>
          <w:szCs w:val="22"/>
        </w:rPr>
        <w:t xml:space="preserve">Pour toutes </w:t>
      </w:r>
      <w:r w:rsidR="008B3393" w:rsidRPr="008B3393">
        <w:rPr>
          <w:rFonts w:ascii="Times New Roman" w:hAnsi="Times New Roman"/>
          <w:sz w:val="22"/>
          <w:szCs w:val="22"/>
        </w:rPr>
        <w:t>informations techniques</w:t>
      </w:r>
      <w:r w:rsidRPr="008B3393">
        <w:rPr>
          <w:rFonts w:ascii="Times New Roman" w:hAnsi="Times New Roman"/>
          <w:sz w:val="22"/>
          <w:szCs w:val="22"/>
        </w:rPr>
        <w:t xml:space="preserve">, veuillez adresser un courriel à l’adresse : </w:t>
      </w:r>
      <w:hyperlink r:id="rId10" w:history="1">
        <w:r w:rsidRPr="006C7E7D">
          <w:rPr>
            <w:rStyle w:val="Lienhypertexte"/>
            <w:rFonts w:ascii="Times New Roman" w:hAnsi="Times New Roman"/>
            <w:sz w:val="22"/>
            <w:szCs w:val="22"/>
          </w:rPr>
          <w:t>tenders.uagcp@gmail.com</w:t>
        </w:r>
      </w:hyperlink>
      <w:r w:rsidRPr="008B3393">
        <w:rPr>
          <w:rFonts w:ascii="Times New Roman" w:hAnsi="Times New Roman"/>
          <w:sz w:val="22"/>
          <w:szCs w:val="22"/>
        </w:rPr>
        <w:t> </w:t>
      </w:r>
      <w:r>
        <w:rPr>
          <w:rFonts w:ascii="Times New Roman" w:hAnsi="Times New Roman"/>
          <w:sz w:val="22"/>
          <w:szCs w:val="22"/>
        </w:rPr>
        <w:t>du lundi au vendredi</w:t>
      </w:r>
      <w:r w:rsidRPr="008B3393">
        <w:rPr>
          <w:rFonts w:ascii="Times New Roman" w:hAnsi="Times New Roman"/>
          <w:sz w:val="22"/>
          <w:szCs w:val="22"/>
        </w:rPr>
        <w:t xml:space="preserve"> de 9h à 17h</w:t>
      </w:r>
      <w:r>
        <w:rPr>
          <w:rFonts w:ascii="Times New Roman" w:hAnsi="Times New Roman"/>
          <w:sz w:val="22"/>
          <w:szCs w:val="22"/>
        </w:rPr>
        <w:t>.</w:t>
      </w:r>
    </w:p>
    <w:p w14:paraId="62548E0D" w14:textId="77777777" w:rsidR="00BE7869" w:rsidRPr="006C7E7D" w:rsidRDefault="00BE7869" w:rsidP="0015577A">
      <w:pPr>
        <w:tabs>
          <w:tab w:val="num" w:pos="720"/>
        </w:tabs>
        <w:jc w:val="both"/>
        <w:rPr>
          <w:rFonts w:ascii="Times New Roman" w:hAnsi="Times New Roman"/>
          <w:b/>
          <w:bCs w:val="0"/>
          <w:sz w:val="22"/>
          <w:szCs w:val="22"/>
        </w:rPr>
      </w:pPr>
    </w:p>
    <w:p w14:paraId="34532655" w14:textId="73220973" w:rsidR="0015577A" w:rsidRPr="006C7E7D" w:rsidRDefault="00BE150F" w:rsidP="0015577A">
      <w:pPr>
        <w:pStyle w:val="Header3-Paragraph"/>
        <w:tabs>
          <w:tab w:val="clear" w:pos="504"/>
          <w:tab w:val="left" w:pos="0"/>
        </w:tabs>
        <w:overflowPunct/>
        <w:autoSpaceDE/>
        <w:autoSpaceDN/>
        <w:adjustRightInd/>
        <w:spacing w:after="0"/>
        <w:ind w:left="0" w:firstLine="0"/>
        <w:textAlignment w:val="auto"/>
        <w:rPr>
          <w:rFonts w:cs="Times New Roman"/>
          <w:b/>
          <w:bCs/>
          <w:color w:val="FF0000"/>
          <w:sz w:val="22"/>
          <w:szCs w:val="22"/>
          <w:lang w:val="fr-FR"/>
        </w:rPr>
      </w:pPr>
      <w:r w:rsidRPr="006C7E7D">
        <w:rPr>
          <w:rFonts w:cs="Times New Roman"/>
          <w:b/>
          <w:bCs/>
          <w:color w:val="FF0000"/>
          <w:sz w:val="22"/>
          <w:szCs w:val="22"/>
          <w:lang w:val="fr-FR"/>
        </w:rPr>
        <w:t>NB : La</w:t>
      </w:r>
      <w:r w:rsidR="0015577A" w:rsidRPr="006C7E7D">
        <w:rPr>
          <w:rFonts w:cs="Times New Roman"/>
          <w:b/>
          <w:bCs/>
          <w:color w:val="FF0000"/>
          <w:sz w:val="22"/>
          <w:szCs w:val="22"/>
          <w:lang w:val="fr-FR"/>
        </w:rPr>
        <w:t xml:space="preserve"> proposition financière </w:t>
      </w:r>
      <w:r w:rsidRPr="006C7E7D">
        <w:rPr>
          <w:rFonts w:cs="Times New Roman"/>
          <w:b/>
          <w:bCs/>
          <w:color w:val="FF0000"/>
          <w:sz w:val="22"/>
          <w:szCs w:val="22"/>
          <w:lang w:val="fr-FR"/>
        </w:rPr>
        <w:t xml:space="preserve">doit être </w:t>
      </w:r>
      <w:r w:rsidR="0015577A" w:rsidRPr="006C7E7D">
        <w:rPr>
          <w:rFonts w:cs="Times New Roman"/>
          <w:b/>
          <w:bCs/>
          <w:color w:val="FF0000"/>
          <w:sz w:val="22"/>
          <w:szCs w:val="22"/>
          <w:lang w:val="fr-FR"/>
        </w:rPr>
        <w:t>présentée dans une enveloppe séparée</w:t>
      </w:r>
      <w:r w:rsidRPr="006C7E7D">
        <w:rPr>
          <w:rFonts w:cs="Times New Roman"/>
          <w:b/>
          <w:bCs/>
          <w:color w:val="FF0000"/>
          <w:sz w:val="22"/>
          <w:szCs w:val="22"/>
          <w:lang w:val="fr-FR"/>
        </w:rPr>
        <w:t xml:space="preserve"> de la proposition technique</w:t>
      </w:r>
      <w:r w:rsidR="0015577A" w:rsidRPr="006C7E7D">
        <w:rPr>
          <w:rFonts w:cs="Times New Roman"/>
          <w:b/>
          <w:bCs/>
          <w:color w:val="FF0000"/>
          <w:sz w:val="22"/>
          <w:szCs w:val="22"/>
          <w:lang w:val="fr-FR"/>
        </w:rPr>
        <w:t xml:space="preserve"> </w:t>
      </w:r>
      <w:r w:rsidR="001B2660" w:rsidRPr="006C7E7D">
        <w:rPr>
          <w:rFonts w:cs="Times New Roman"/>
          <w:b/>
          <w:bCs/>
          <w:color w:val="FF0000"/>
          <w:sz w:val="22"/>
          <w:szCs w:val="22"/>
          <w:lang w:val="fr-FR"/>
        </w:rPr>
        <w:t xml:space="preserve">et </w:t>
      </w:r>
      <w:r w:rsidR="0015577A" w:rsidRPr="006C7E7D">
        <w:rPr>
          <w:rFonts w:cs="Times New Roman"/>
          <w:b/>
          <w:bCs/>
          <w:color w:val="FF0000"/>
          <w:sz w:val="22"/>
          <w:szCs w:val="22"/>
          <w:lang w:val="fr-FR"/>
        </w:rPr>
        <w:t xml:space="preserve">portant </w:t>
      </w:r>
      <w:r w:rsidRPr="006C7E7D">
        <w:rPr>
          <w:rFonts w:cs="Times New Roman"/>
          <w:b/>
          <w:bCs/>
          <w:color w:val="FF0000"/>
          <w:sz w:val="22"/>
          <w:szCs w:val="22"/>
          <w:lang w:val="fr-FR"/>
        </w:rPr>
        <w:t>la mention proposition financière</w:t>
      </w:r>
      <w:r w:rsidR="0015577A" w:rsidRPr="006C7E7D">
        <w:rPr>
          <w:rFonts w:cs="Times New Roman"/>
          <w:b/>
          <w:bCs/>
          <w:color w:val="FF0000"/>
          <w:sz w:val="22"/>
          <w:szCs w:val="22"/>
          <w:lang w:val="fr-FR"/>
        </w:rPr>
        <w:t>.</w:t>
      </w:r>
    </w:p>
    <w:p w14:paraId="74F25581" w14:textId="77777777" w:rsidR="0015577A" w:rsidRPr="006C7E7D" w:rsidRDefault="0015577A" w:rsidP="0015577A">
      <w:pPr>
        <w:tabs>
          <w:tab w:val="num" w:pos="720"/>
        </w:tabs>
        <w:spacing w:before="120"/>
        <w:jc w:val="both"/>
        <w:rPr>
          <w:rFonts w:ascii="Times New Roman" w:eastAsia="Calibri" w:hAnsi="Times New Roman"/>
          <w:sz w:val="22"/>
          <w:szCs w:val="22"/>
        </w:rPr>
      </w:pPr>
      <w:r w:rsidRPr="006C7E7D">
        <w:rPr>
          <w:rFonts w:ascii="Times New Roman" w:hAnsi="Times New Roman"/>
          <w:bCs w:val="0"/>
          <w:sz w:val="22"/>
          <w:szCs w:val="22"/>
        </w:rPr>
        <w:t xml:space="preserve">L’ouverture (à huit-clos) des propositions techniques aura lieu le même jour dans la salle de réunions de l’UAGCP à partir de </w:t>
      </w:r>
      <w:r w:rsidRPr="006C7E7D">
        <w:rPr>
          <w:rFonts w:ascii="Times New Roman" w:hAnsi="Times New Roman"/>
          <w:b/>
          <w:bCs w:val="0"/>
          <w:sz w:val="22"/>
          <w:szCs w:val="22"/>
        </w:rPr>
        <w:t>12h00</w:t>
      </w:r>
      <w:r w:rsidRPr="006C7E7D">
        <w:rPr>
          <w:rFonts w:ascii="Times New Roman" w:eastAsia="Calibri" w:hAnsi="Times New Roman"/>
          <w:sz w:val="22"/>
          <w:szCs w:val="22"/>
        </w:rPr>
        <w:t>.</w:t>
      </w:r>
    </w:p>
    <w:p w14:paraId="0FC732C6" w14:textId="77777777" w:rsidR="0015577A" w:rsidRPr="006C7E7D" w:rsidRDefault="0015577A" w:rsidP="0015577A">
      <w:pPr>
        <w:tabs>
          <w:tab w:val="num" w:pos="720"/>
        </w:tabs>
        <w:spacing w:before="120"/>
        <w:jc w:val="both"/>
        <w:rPr>
          <w:rFonts w:ascii="Times New Roman" w:eastAsia="Calibri" w:hAnsi="Times New Roman"/>
          <w:sz w:val="22"/>
          <w:szCs w:val="22"/>
        </w:rPr>
      </w:pPr>
    </w:p>
    <w:p w14:paraId="67F3819C" w14:textId="77777777" w:rsidR="0015577A" w:rsidRPr="006C7E7D" w:rsidRDefault="0015577A" w:rsidP="0015577A">
      <w:pPr>
        <w:tabs>
          <w:tab w:val="num" w:pos="720"/>
        </w:tabs>
        <w:jc w:val="both"/>
        <w:rPr>
          <w:rFonts w:ascii="Times New Roman" w:hAnsi="Times New Roman"/>
          <w:bCs w:val="0"/>
          <w:sz w:val="8"/>
        </w:rPr>
      </w:pPr>
    </w:p>
    <w:p w14:paraId="03C039E8" w14:textId="0A0266B8" w:rsidR="0015577A" w:rsidRPr="006C7E7D" w:rsidRDefault="0015577A" w:rsidP="0015577A">
      <w:pPr>
        <w:tabs>
          <w:tab w:val="num" w:pos="720"/>
        </w:tabs>
        <w:spacing w:line="360" w:lineRule="auto"/>
        <w:ind w:left="5103"/>
        <w:jc w:val="center"/>
        <w:rPr>
          <w:rFonts w:ascii="Times New Roman" w:hAnsi="Times New Roman"/>
          <w:bCs w:val="0"/>
        </w:rPr>
      </w:pPr>
      <w:r w:rsidRPr="006C7E7D">
        <w:rPr>
          <w:rFonts w:ascii="Times New Roman" w:hAnsi="Times New Roman"/>
          <w:bCs w:val="0"/>
        </w:rPr>
        <w:t xml:space="preserve">Fait à Conakry, le </w:t>
      </w:r>
      <w:r w:rsidR="00B10707">
        <w:rPr>
          <w:rFonts w:ascii="Times New Roman" w:hAnsi="Times New Roman"/>
          <w:bCs w:val="0"/>
        </w:rPr>
        <w:t>08</w:t>
      </w:r>
      <w:r w:rsidRPr="006C7E7D">
        <w:rPr>
          <w:rFonts w:ascii="Times New Roman" w:hAnsi="Times New Roman"/>
          <w:bCs w:val="0"/>
        </w:rPr>
        <w:t>/</w:t>
      </w:r>
      <w:r w:rsidR="001B68CB">
        <w:rPr>
          <w:rFonts w:ascii="Times New Roman" w:hAnsi="Times New Roman"/>
          <w:bCs w:val="0"/>
        </w:rPr>
        <w:t>1</w:t>
      </w:r>
      <w:r w:rsidR="00B10707">
        <w:rPr>
          <w:rFonts w:ascii="Times New Roman" w:hAnsi="Times New Roman"/>
          <w:bCs w:val="0"/>
        </w:rPr>
        <w:t>2</w:t>
      </w:r>
      <w:r w:rsidRPr="006C7E7D">
        <w:rPr>
          <w:rFonts w:ascii="Times New Roman" w:hAnsi="Times New Roman"/>
          <w:bCs w:val="0"/>
        </w:rPr>
        <w:t>/2023</w:t>
      </w:r>
    </w:p>
    <w:p w14:paraId="007A32E8" w14:textId="77777777" w:rsidR="0015577A" w:rsidRPr="006C7E7D" w:rsidRDefault="0015577A" w:rsidP="0015577A">
      <w:pPr>
        <w:tabs>
          <w:tab w:val="num" w:pos="720"/>
        </w:tabs>
        <w:spacing w:line="360" w:lineRule="auto"/>
        <w:ind w:left="5103"/>
        <w:jc w:val="center"/>
        <w:rPr>
          <w:rFonts w:ascii="Times New Roman" w:hAnsi="Times New Roman"/>
          <w:bCs w:val="0"/>
        </w:rPr>
      </w:pPr>
    </w:p>
    <w:p w14:paraId="6AFF958B" w14:textId="77777777" w:rsidR="0015577A" w:rsidRPr="006C7E7D" w:rsidRDefault="0015577A" w:rsidP="0015577A">
      <w:pPr>
        <w:tabs>
          <w:tab w:val="num" w:pos="720"/>
        </w:tabs>
        <w:spacing w:line="360" w:lineRule="auto"/>
        <w:ind w:left="5103"/>
        <w:jc w:val="center"/>
        <w:rPr>
          <w:rFonts w:ascii="Times New Roman" w:hAnsi="Times New Roman"/>
          <w:bCs w:val="0"/>
        </w:rPr>
      </w:pPr>
      <w:r w:rsidRPr="006C7E7D">
        <w:rPr>
          <w:rFonts w:ascii="Times New Roman" w:hAnsi="Times New Roman"/>
          <w:bCs w:val="0"/>
        </w:rPr>
        <w:t>Pour l’Autorité contractante,</w:t>
      </w:r>
    </w:p>
    <w:p w14:paraId="55DF67A1" w14:textId="77777777" w:rsidR="0015577A" w:rsidRPr="006C7E7D" w:rsidRDefault="0015577A" w:rsidP="0015577A">
      <w:pPr>
        <w:tabs>
          <w:tab w:val="num" w:pos="0"/>
        </w:tabs>
        <w:spacing w:line="360" w:lineRule="auto"/>
        <w:ind w:left="5103"/>
        <w:jc w:val="center"/>
        <w:rPr>
          <w:rFonts w:ascii="Times New Roman" w:hAnsi="Times New Roman"/>
          <w:b/>
          <w:bCs w:val="0"/>
          <w:u w:val="single"/>
        </w:rPr>
      </w:pPr>
      <w:r w:rsidRPr="006C7E7D">
        <w:rPr>
          <w:rFonts w:ascii="Times New Roman" w:hAnsi="Times New Roman"/>
          <w:b/>
          <w:bCs w:val="0"/>
          <w:u w:val="single"/>
        </w:rPr>
        <w:t>Dr Timothée GUILAVOGUI</w:t>
      </w:r>
    </w:p>
    <w:p w14:paraId="76976F4A" w14:textId="77777777" w:rsidR="0015577A" w:rsidRPr="006C7E7D" w:rsidRDefault="0015577A" w:rsidP="0015577A">
      <w:pPr>
        <w:tabs>
          <w:tab w:val="num" w:pos="0"/>
        </w:tabs>
        <w:spacing w:line="360" w:lineRule="auto"/>
        <w:ind w:left="5103"/>
        <w:jc w:val="center"/>
        <w:rPr>
          <w:rFonts w:ascii="Times New Roman" w:hAnsi="Times New Roman"/>
          <w:bCs w:val="0"/>
          <w:sz w:val="22"/>
          <w:u w:val="single"/>
        </w:rPr>
      </w:pPr>
    </w:p>
    <w:p w14:paraId="3E80FDAA" w14:textId="57C58E9D" w:rsidR="001B07CC" w:rsidRPr="00445FF8" w:rsidRDefault="001B07CC" w:rsidP="008B3393">
      <w:pPr>
        <w:spacing w:after="120"/>
        <w:jc w:val="center"/>
        <w:rPr>
          <w:rFonts w:ascii="Times New Roman" w:hAnsi="Times New Roman"/>
        </w:rPr>
      </w:pPr>
    </w:p>
    <w:sectPr w:rsidR="001B07CC" w:rsidRPr="00445FF8" w:rsidSect="00493BE2">
      <w:headerReference w:type="even" r:id="rId11"/>
      <w:headerReference w:type="first" r:id="rId12"/>
      <w:pgSz w:w="12240" w:h="15840" w:code="1"/>
      <w:pgMar w:top="1440" w:right="1440" w:bottom="1135"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EE3B" w14:textId="77777777" w:rsidR="00B36113" w:rsidRDefault="00B36113" w:rsidP="001B2660">
      <w:r>
        <w:separator/>
      </w:r>
    </w:p>
  </w:endnote>
  <w:endnote w:type="continuationSeparator" w:id="0">
    <w:p w14:paraId="10D04147" w14:textId="77777777" w:rsidR="00B36113" w:rsidRDefault="00B36113" w:rsidP="001B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902D" w14:textId="77777777" w:rsidR="00B36113" w:rsidRDefault="00B36113" w:rsidP="001B2660">
      <w:r>
        <w:separator/>
      </w:r>
    </w:p>
  </w:footnote>
  <w:footnote w:type="continuationSeparator" w:id="0">
    <w:p w14:paraId="5089B1D1" w14:textId="77777777" w:rsidR="00B36113" w:rsidRDefault="00B36113" w:rsidP="001B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48F7" w14:textId="77777777" w:rsidR="00707964" w:rsidRDefault="008608B2">
    <w:pPr>
      <w:pStyle w:val="En-tte"/>
      <w:pBdr>
        <w:bottom w:val="single" w:sz="4" w:space="1" w:color="auto"/>
      </w:pBdr>
      <w:tabs>
        <w:tab w:val="clear" w:pos="8640"/>
        <w:tab w:val="right" w:pos="9360"/>
      </w:tabs>
      <w:rPr>
        <w:sz w:val="20"/>
      </w:rPr>
    </w:pP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48</w:t>
    </w:r>
    <w:r>
      <w:rPr>
        <w:rStyle w:val="Numrodepage"/>
        <w:sz w:val="20"/>
      </w:rPr>
      <w:fldChar w:fldCharType="end"/>
    </w:r>
    <w:r>
      <w:rPr>
        <w:rStyle w:val="Numrodepage"/>
        <w:sz w:val="20"/>
      </w:rPr>
      <w:tab/>
    </w:r>
    <w:r>
      <w:rPr>
        <w:rStyle w:val="Numrodepage"/>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36ED" w14:textId="103B0DB6" w:rsidR="00707964" w:rsidRPr="00C47950" w:rsidRDefault="00B36113" w:rsidP="00C479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649F"/>
    <w:multiLevelType w:val="hybridMultilevel"/>
    <w:tmpl w:val="6E4E278E"/>
    <w:lvl w:ilvl="0" w:tplc="72EC527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140E7A"/>
    <w:multiLevelType w:val="multilevel"/>
    <w:tmpl w:val="3396834A"/>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982545D"/>
    <w:multiLevelType w:val="hybridMultilevel"/>
    <w:tmpl w:val="5C082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670B16"/>
    <w:multiLevelType w:val="multilevel"/>
    <w:tmpl w:val="EA1A8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812D1"/>
    <w:multiLevelType w:val="hybridMultilevel"/>
    <w:tmpl w:val="08343418"/>
    <w:lvl w:ilvl="0" w:tplc="E5BCF6C2">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0C131CE"/>
    <w:multiLevelType w:val="multilevel"/>
    <w:tmpl w:val="D1CA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B6DC9"/>
    <w:multiLevelType w:val="hybridMultilevel"/>
    <w:tmpl w:val="F3D0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67E63"/>
    <w:multiLevelType w:val="multilevel"/>
    <w:tmpl w:val="035AF9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06D71"/>
    <w:multiLevelType w:val="multilevel"/>
    <w:tmpl w:val="A9E4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C5341"/>
    <w:multiLevelType w:val="multilevel"/>
    <w:tmpl w:val="59023D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58D0F95"/>
    <w:multiLevelType w:val="multilevel"/>
    <w:tmpl w:val="F4062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F656B"/>
    <w:multiLevelType w:val="multilevel"/>
    <w:tmpl w:val="2CB2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66A69"/>
    <w:multiLevelType w:val="multilevel"/>
    <w:tmpl w:val="FE68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14" w15:restartNumberingAfterBreak="0">
    <w:nsid w:val="424875AB"/>
    <w:multiLevelType w:val="multilevel"/>
    <w:tmpl w:val="C0F4DD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BB111F"/>
    <w:multiLevelType w:val="multilevel"/>
    <w:tmpl w:val="1A629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D7451"/>
    <w:multiLevelType w:val="multilevel"/>
    <w:tmpl w:val="319EF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9435CB"/>
    <w:multiLevelType w:val="hybridMultilevel"/>
    <w:tmpl w:val="E72ABDB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7E67A92"/>
    <w:multiLevelType w:val="multilevel"/>
    <w:tmpl w:val="0F5C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67626"/>
    <w:multiLevelType w:val="hybridMultilevel"/>
    <w:tmpl w:val="B7002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40155A"/>
    <w:multiLevelType w:val="hybridMultilevel"/>
    <w:tmpl w:val="8A484FD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5FE81AFA"/>
    <w:multiLevelType w:val="multilevel"/>
    <w:tmpl w:val="25720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E709B"/>
    <w:multiLevelType w:val="hybridMultilevel"/>
    <w:tmpl w:val="7CDA1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CE0D3B"/>
    <w:multiLevelType w:val="multilevel"/>
    <w:tmpl w:val="63AC3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0C5D40"/>
    <w:multiLevelType w:val="multilevel"/>
    <w:tmpl w:val="79867A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5D133C"/>
    <w:multiLevelType w:val="hybridMultilevel"/>
    <w:tmpl w:val="7026E020"/>
    <w:lvl w:ilvl="0" w:tplc="D092E92A">
      <w:numFmt w:val="bullet"/>
      <w:lvlText w:val="-"/>
      <w:lvlJc w:val="left"/>
      <w:pPr>
        <w:ind w:left="420" w:hanging="360"/>
      </w:pPr>
      <w:rPr>
        <w:rFonts w:ascii="Century Gothic" w:eastAsia="Times New Roman" w:hAnsi="Century Gothic"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6" w15:restartNumberingAfterBreak="0">
    <w:nsid w:val="7DAD365D"/>
    <w:multiLevelType w:val="multilevel"/>
    <w:tmpl w:val="B1A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
  </w:num>
  <w:num w:numId="3">
    <w:abstractNumId w:val="19"/>
  </w:num>
  <w:num w:numId="4">
    <w:abstractNumId w:val="20"/>
  </w:num>
  <w:num w:numId="5">
    <w:abstractNumId w:val="22"/>
  </w:num>
  <w:num w:numId="6">
    <w:abstractNumId w:val="3"/>
  </w:num>
  <w:num w:numId="7">
    <w:abstractNumId w:val="1"/>
  </w:num>
  <w:num w:numId="8">
    <w:abstractNumId w:val="0"/>
  </w:num>
  <w:num w:numId="9">
    <w:abstractNumId w:val="18"/>
  </w:num>
  <w:num w:numId="10">
    <w:abstractNumId w:val="9"/>
  </w:num>
  <w:num w:numId="11">
    <w:abstractNumId w:val="8"/>
  </w:num>
  <w:num w:numId="12">
    <w:abstractNumId w:val="10"/>
  </w:num>
  <w:num w:numId="13">
    <w:abstractNumId w:val="15"/>
  </w:num>
  <w:num w:numId="14">
    <w:abstractNumId w:val="12"/>
  </w:num>
  <w:num w:numId="15">
    <w:abstractNumId w:val="16"/>
  </w:num>
  <w:num w:numId="16">
    <w:abstractNumId w:val="5"/>
  </w:num>
  <w:num w:numId="17">
    <w:abstractNumId w:val="24"/>
  </w:num>
  <w:num w:numId="18">
    <w:abstractNumId w:val="14"/>
  </w:num>
  <w:num w:numId="19">
    <w:abstractNumId w:val="21"/>
  </w:num>
  <w:num w:numId="20">
    <w:abstractNumId w:val="7"/>
  </w:num>
  <w:num w:numId="21">
    <w:abstractNumId w:val="11"/>
  </w:num>
  <w:num w:numId="22">
    <w:abstractNumId w:val="23"/>
  </w:num>
  <w:num w:numId="23">
    <w:abstractNumId w:val="26"/>
  </w:num>
  <w:num w:numId="24">
    <w:abstractNumId w:val="6"/>
  </w:num>
  <w:num w:numId="25">
    <w:abstractNumId w:val="13"/>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A0"/>
    <w:rsid w:val="000B1E9C"/>
    <w:rsid w:val="0013560A"/>
    <w:rsid w:val="0015577A"/>
    <w:rsid w:val="001B07CC"/>
    <w:rsid w:val="001B2660"/>
    <w:rsid w:val="001B43FF"/>
    <w:rsid w:val="001B68CB"/>
    <w:rsid w:val="001E5D18"/>
    <w:rsid w:val="002147B4"/>
    <w:rsid w:val="002374CC"/>
    <w:rsid w:val="002460B2"/>
    <w:rsid w:val="002701A9"/>
    <w:rsid w:val="00272272"/>
    <w:rsid w:val="00285720"/>
    <w:rsid w:val="002C1961"/>
    <w:rsid w:val="002E189A"/>
    <w:rsid w:val="003619F8"/>
    <w:rsid w:val="00381BB8"/>
    <w:rsid w:val="003F0CDE"/>
    <w:rsid w:val="00445FF8"/>
    <w:rsid w:val="00493BE2"/>
    <w:rsid w:val="004B59A0"/>
    <w:rsid w:val="004B6DB5"/>
    <w:rsid w:val="004C426D"/>
    <w:rsid w:val="004E6EAB"/>
    <w:rsid w:val="00503C4D"/>
    <w:rsid w:val="00507628"/>
    <w:rsid w:val="00511C55"/>
    <w:rsid w:val="00514CB7"/>
    <w:rsid w:val="0058211E"/>
    <w:rsid w:val="0059342E"/>
    <w:rsid w:val="00597674"/>
    <w:rsid w:val="005A0D56"/>
    <w:rsid w:val="005A1845"/>
    <w:rsid w:val="005A7CF9"/>
    <w:rsid w:val="005C15BA"/>
    <w:rsid w:val="005F0A22"/>
    <w:rsid w:val="006541D1"/>
    <w:rsid w:val="0066145A"/>
    <w:rsid w:val="006C5941"/>
    <w:rsid w:val="006C7E7D"/>
    <w:rsid w:val="00737C29"/>
    <w:rsid w:val="0076327D"/>
    <w:rsid w:val="0076562B"/>
    <w:rsid w:val="007963D2"/>
    <w:rsid w:val="007A1D23"/>
    <w:rsid w:val="007B239C"/>
    <w:rsid w:val="007C512E"/>
    <w:rsid w:val="0082338A"/>
    <w:rsid w:val="00824CE2"/>
    <w:rsid w:val="00856CBB"/>
    <w:rsid w:val="008608B2"/>
    <w:rsid w:val="008957CF"/>
    <w:rsid w:val="00895ADE"/>
    <w:rsid w:val="008A15C1"/>
    <w:rsid w:val="008A5DFB"/>
    <w:rsid w:val="008B3393"/>
    <w:rsid w:val="00974CC8"/>
    <w:rsid w:val="00986D57"/>
    <w:rsid w:val="009D47EA"/>
    <w:rsid w:val="009F08C0"/>
    <w:rsid w:val="00AA0910"/>
    <w:rsid w:val="00B10707"/>
    <w:rsid w:val="00B36113"/>
    <w:rsid w:val="00B4187B"/>
    <w:rsid w:val="00B76104"/>
    <w:rsid w:val="00BC1DC1"/>
    <w:rsid w:val="00BD45DE"/>
    <w:rsid w:val="00BE150F"/>
    <w:rsid w:val="00BE7869"/>
    <w:rsid w:val="00C25FB9"/>
    <w:rsid w:val="00C47950"/>
    <w:rsid w:val="00C817E3"/>
    <w:rsid w:val="00C9688F"/>
    <w:rsid w:val="00CB2502"/>
    <w:rsid w:val="00CC1583"/>
    <w:rsid w:val="00D1588E"/>
    <w:rsid w:val="00D80094"/>
    <w:rsid w:val="00D97DBA"/>
    <w:rsid w:val="00DC2AE6"/>
    <w:rsid w:val="00DD1A9B"/>
    <w:rsid w:val="00E16747"/>
    <w:rsid w:val="00E27187"/>
    <w:rsid w:val="00E3593D"/>
    <w:rsid w:val="00E40624"/>
    <w:rsid w:val="00E64BBF"/>
    <w:rsid w:val="00EB13A2"/>
    <w:rsid w:val="00F114D8"/>
    <w:rsid w:val="00F87DF0"/>
    <w:rsid w:val="00FA3758"/>
    <w:rsid w:val="00FD3168"/>
    <w:rsid w:val="00FD5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638B6"/>
  <w15:chartTrackingRefBased/>
  <w15:docId w15:val="{35A05DE7-7C1C-47C5-BCEB-C2C57DE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9A0"/>
    <w:pPr>
      <w:spacing w:after="0" w:line="240" w:lineRule="auto"/>
    </w:pPr>
    <w:rPr>
      <w:rFonts w:ascii="Arial Narrow" w:eastAsia="Times New Roman" w:hAnsi="Arial Narrow" w:cs="Times New Roman"/>
      <w:bCs/>
      <w:sz w:val="24"/>
      <w:szCs w:val="24"/>
      <w:lang w:eastAsia="fr-FR"/>
    </w:rPr>
  </w:style>
  <w:style w:type="paragraph" w:styleId="Titre1">
    <w:name w:val="heading 1"/>
    <w:basedOn w:val="Normal"/>
    <w:next w:val="Normal"/>
    <w:link w:val="Titre1Car"/>
    <w:uiPriority w:val="9"/>
    <w:qFormat/>
    <w:rsid w:val="0015577A"/>
    <w:pPr>
      <w:keepNext/>
      <w:keepLines/>
      <w:spacing w:before="240" w:after="240"/>
      <w:jc w:val="center"/>
      <w:outlineLvl w:val="0"/>
    </w:pPr>
    <w:rPr>
      <w:rFonts w:ascii="Times New Roman Bold" w:hAnsi="Times New Roman Bold"/>
      <w:b/>
      <w:bCs w:val="0"/>
      <w:sz w:val="32"/>
      <w:szCs w:val="20"/>
      <w:lang w:eastAsia="en-US"/>
    </w:rPr>
  </w:style>
  <w:style w:type="paragraph" w:styleId="Titre2">
    <w:name w:val="heading 2"/>
    <w:basedOn w:val="Normal"/>
    <w:next w:val="Normal"/>
    <w:link w:val="Titre2Car"/>
    <w:uiPriority w:val="9"/>
    <w:semiHidden/>
    <w:unhideWhenUsed/>
    <w:qFormat/>
    <w:rsid w:val="001B2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B59A0"/>
    <w:pPr>
      <w:tabs>
        <w:tab w:val="center" w:pos="4320"/>
        <w:tab w:val="right" w:pos="8640"/>
      </w:tabs>
    </w:pPr>
    <w:rPr>
      <w:rFonts w:ascii="Times New Roman" w:hAnsi="Times New Roman"/>
      <w:bCs w:val="0"/>
    </w:rPr>
  </w:style>
  <w:style w:type="character" w:customStyle="1" w:styleId="En-tteCar">
    <w:name w:val="En-tête Car"/>
    <w:basedOn w:val="Policepardfaut"/>
    <w:link w:val="En-tte"/>
    <w:uiPriority w:val="99"/>
    <w:rsid w:val="004B59A0"/>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B59A0"/>
    <w:rPr>
      <w:color w:val="0563C1" w:themeColor="hyperlink"/>
      <w:u w:val="single"/>
    </w:rPr>
  </w:style>
  <w:style w:type="paragraph" w:styleId="Paragraphedeliste">
    <w:name w:val="List Paragraph"/>
    <w:aliases w:val="References,Bullets,List Paragraph (numbered (a)),Numbered List Paragraph,Grille claire - Accent 31,Normal bullet 2,Paragraph,Paragraphe de liste (sdt),List Paragraph1,List Paragraph2,Bullet List,FooterText,Colorful List Accent 1,????"/>
    <w:basedOn w:val="Normal"/>
    <w:link w:val="ParagraphedelisteCar"/>
    <w:uiPriority w:val="34"/>
    <w:qFormat/>
    <w:rsid w:val="004B59A0"/>
    <w:pPr>
      <w:ind w:left="720"/>
      <w:contextualSpacing/>
    </w:pPr>
  </w:style>
  <w:style w:type="character" w:customStyle="1" w:styleId="Mentionnonrsolue1">
    <w:name w:val="Mention non résolue1"/>
    <w:basedOn w:val="Policepardfaut"/>
    <w:uiPriority w:val="99"/>
    <w:semiHidden/>
    <w:unhideWhenUsed/>
    <w:rsid w:val="005A0D56"/>
    <w:rPr>
      <w:color w:val="605E5C"/>
      <w:shd w:val="clear" w:color="auto" w:fill="E1DFDD"/>
    </w:rPr>
  </w:style>
  <w:style w:type="character" w:customStyle="1" w:styleId="Titre1Car">
    <w:name w:val="Titre 1 Car"/>
    <w:basedOn w:val="Policepardfaut"/>
    <w:link w:val="Titre1"/>
    <w:uiPriority w:val="9"/>
    <w:rsid w:val="0015577A"/>
    <w:rPr>
      <w:rFonts w:ascii="Times New Roman Bold" w:eastAsia="Times New Roman" w:hAnsi="Times New Roman Bold" w:cs="Times New Roman"/>
      <w:b/>
      <w:sz w:val="32"/>
      <w:szCs w:val="20"/>
    </w:rPr>
  </w:style>
  <w:style w:type="paragraph" w:styleId="Commentaire">
    <w:name w:val="annotation text"/>
    <w:basedOn w:val="Normal"/>
    <w:link w:val="CommentaireCar"/>
    <w:uiPriority w:val="99"/>
    <w:rsid w:val="0015577A"/>
    <w:rPr>
      <w:rFonts w:ascii="Times New Roman" w:hAnsi="Times New Roman"/>
      <w:bCs w:val="0"/>
      <w:sz w:val="20"/>
      <w:szCs w:val="20"/>
      <w:lang w:val="x-none" w:eastAsia="en-US"/>
    </w:rPr>
  </w:style>
  <w:style w:type="character" w:customStyle="1" w:styleId="CommentaireCar">
    <w:name w:val="Commentaire Car"/>
    <w:basedOn w:val="Policepardfaut"/>
    <w:link w:val="Commentaire"/>
    <w:uiPriority w:val="99"/>
    <w:rsid w:val="0015577A"/>
    <w:rPr>
      <w:rFonts w:ascii="Times New Roman" w:eastAsia="Times New Roman" w:hAnsi="Times New Roman" w:cs="Times New Roman"/>
      <w:sz w:val="20"/>
      <w:szCs w:val="20"/>
      <w:lang w:val="x-none"/>
    </w:rPr>
  </w:style>
  <w:style w:type="paragraph" w:customStyle="1" w:styleId="Header3-Paragraph">
    <w:name w:val="Header 3 - Paragraph"/>
    <w:basedOn w:val="Normal"/>
    <w:rsid w:val="0015577A"/>
    <w:pPr>
      <w:tabs>
        <w:tab w:val="left" w:pos="504"/>
      </w:tabs>
      <w:overflowPunct w:val="0"/>
      <w:autoSpaceDE w:val="0"/>
      <w:autoSpaceDN w:val="0"/>
      <w:adjustRightInd w:val="0"/>
      <w:spacing w:after="200"/>
      <w:ind w:left="504" w:hanging="504"/>
      <w:jc w:val="both"/>
      <w:textAlignment w:val="baseline"/>
    </w:pPr>
    <w:rPr>
      <w:rFonts w:ascii="Times New Roman" w:hAnsi="Times New Roman" w:cs="Arial"/>
      <w:bCs w:val="0"/>
      <w:lang w:val="en-US"/>
    </w:rPr>
  </w:style>
  <w:style w:type="character" w:customStyle="1" w:styleId="ParagraphedelisteCar">
    <w:name w:val="Paragraphe de liste Car"/>
    <w:aliases w:val="References Car,Bullets Car,List Paragraph (numbered (a)) Car,Numbered List Paragraph Car,Grille claire - Accent 31 Car,Normal bullet 2 Car,Paragraph Car,Paragraphe de liste (sdt) Car,List Paragraph1 Car,List Paragraph2 Car"/>
    <w:link w:val="Paragraphedeliste"/>
    <w:uiPriority w:val="34"/>
    <w:qFormat/>
    <w:locked/>
    <w:rsid w:val="0015577A"/>
    <w:rPr>
      <w:rFonts w:ascii="Arial Narrow" w:eastAsia="Times New Roman" w:hAnsi="Arial Narrow" w:cs="Times New Roman"/>
      <w:bCs/>
      <w:sz w:val="24"/>
      <w:szCs w:val="24"/>
      <w:lang w:eastAsia="fr-FR"/>
    </w:rPr>
  </w:style>
  <w:style w:type="character" w:styleId="Numrodepage">
    <w:name w:val="page number"/>
    <w:basedOn w:val="Policepardfaut"/>
    <w:rsid w:val="001B2660"/>
  </w:style>
  <w:style w:type="paragraph" w:styleId="NormalWeb">
    <w:name w:val="Normal (Web)"/>
    <w:basedOn w:val="Normal"/>
    <w:uiPriority w:val="99"/>
    <w:rsid w:val="001B2660"/>
    <w:pPr>
      <w:spacing w:before="100" w:beforeAutospacing="1" w:after="100" w:afterAutospacing="1"/>
    </w:pPr>
    <w:rPr>
      <w:rFonts w:ascii="Arial Unicode MS" w:eastAsia="Arial Unicode MS" w:hAnsi="Arial Unicode MS" w:cs="Arial Unicode MS"/>
      <w:bCs w:val="0"/>
      <w:color w:val="000000"/>
      <w:lang w:val="en-US" w:eastAsia="en-US"/>
    </w:rPr>
  </w:style>
  <w:style w:type="paragraph" w:customStyle="1" w:styleId="A1-heading2">
    <w:name w:val="A1-heading2"/>
    <w:basedOn w:val="Titre2"/>
    <w:rsid w:val="001B2660"/>
    <w:pPr>
      <w:spacing w:before="240" w:after="240"/>
      <w:jc w:val="center"/>
    </w:pPr>
    <w:rPr>
      <w:rFonts w:ascii="Times New Roman Bold" w:eastAsia="Times New Roman" w:hAnsi="Times New Roman Bold" w:cs="Times New Roman"/>
      <w:b/>
      <w:bCs w:val="0"/>
      <w:smallCaps/>
      <w:color w:val="auto"/>
      <w:sz w:val="24"/>
      <w:szCs w:val="20"/>
      <w:lang w:eastAsia="en-US"/>
    </w:rPr>
  </w:style>
  <w:style w:type="paragraph" w:styleId="Sansinterligne">
    <w:name w:val="No Spacing"/>
    <w:uiPriority w:val="1"/>
    <w:qFormat/>
    <w:rsid w:val="001B2660"/>
    <w:pPr>
      <w:spacing w:after="0" w:line="240" w:lineRule="auto"/>
    </w:pPr>
    <w:rPr>
      <w:rFonts w:ascii="Calibri" w:eastAsia="Calibri" w:hAnsi="Calibri" w:cs="Times New Roman"/>
      <w:lang w:val="fr-BE"/>
    </w:rPr>
  </w:style>
  <w:style w:type="character" w:customStyle="1" w:styleId="Titre2Car">
    <w:name w:val="Titre 2 Car"/>
    <w:basedOn w:val="Policepardfaut"/>
    <w:link w:val="Titre2"/>
    <w:uiPriority w:val="9"/>
    <w:semiHidden/>
    <w:rsid w:val="001B2660"/>
    <w:rPr>
      <w:rFonts w:asciiTheme="majorHAnsi" w:eastAsiaTheme="majorEastAsia" w:hAnsiTheme="majorHAnsi" w:cstheme="majorBidi"/>
      <w:bCs/>
      <w:color w:val="2F5496" w:themeColor="accent1" w:themeShade="BF"/>
      <w:sz w:val="26"/>
      <w:szCs w:val="26"/>
      <w:lang w:eastAsia="fr-FR"/>
    </w:rPr>
  </w:style>
  <w:style w:type="paragraph" w:styleId="Pieddepage">
    <w:name w:val="footer"/>
    <w:basedOn w:val="Normal"/>
    <w:link w:val="PieddepageCar"/>
    <w:unhideWhenUsed/>
    <w:rsid w:val="001B2660"/>
    <w:pPr>
      <w:tabs>
        <w:tab w:val="center" w:pos="4536"/>
        <w:tab w:val="right" w:pos="9072"/>
      </w:tabs>
    </w:pPr>
  </w:style>
  <w:style w:type="character" w:customStyle="1" w:styleId="PieddepageCar">
    <w:name w:val="Pied de page Car"/>
    <w:basedOn w:val="Policepardfaut"/>
    <w:link w:val="Pieddepage"/>
    <w:rsid w:val="001B2660"/>
    <w:rPr>
      <w:rFonts w:ascii="Arial Narrow" w:eastAsia="Times New Roman" w:hAnsi="Arial Narrow" w:cs="Times New Roman"/>
      <w:bCs/>
      <w:sz w:val="24"/>
      <w:szCs w:val="24"/>
      <w:lang w:eastAsia="fr-FR"/>
    </w:rPr>
  </w:style>
  <w:style w:type="character" w:styleId="Marquedecommentaire">
    <w:name w:val="annotation reference"/>
    <w:basedOn w:val="Policepardfaut"/>
    <w:uiPriority w:val="99"/>
    <w:unhideWhenUsed/>
    <w:rsid w:val="00B76104"/>
    <w:rPr>
      <w:sz w:val="16"/>
      <w:szCs w:val="16"/>
    </w:rPr>
  </w:style>
  <w:style w:type="paragraph" w:styleId="Objetducommentaire">
    <w:name w:val="annotation subject"/>
    <w:basedOn w:val="Commentaire"/>
    <w:next w:val="Commentaire"/>
    <w:link w:val="ObjetducommentaireCar"/>
    <w:uiPriority w:val="99"/>
    <w:semiHidden/>
    <w:unhideWhenUsed/>
    <w:rsid w:val="00B76104"/>
    <w:rPr>
      <w:rFonts w:ascii="Arial Narrow" w:hAnsi="Arial Narrow"/>
      <w:b/>
      <w:bCs/>
      <w:lang w:val="fr-FR" w:eastAsia="fr-FR"/>
    </w:rPr>
  </w:style>
  <w:style w:type="character" w:customStyle="1" w:styleId="ObjetducommentaireCar">
    <w:name w:val="Objet du commentaire Car"/>
    <w:basedOn w:val="CommentaireCar"/>
    <w:link w:val="Objetducommentaire"/>
    <w:uiPriority w:val="99"/>
    <w:semiHidden/>
    <w:rsid w:val="00B76104"/>
    <w:rPr>
      <w:rFonts w:ascii="Arial Narrow" w:eastAsia="Times New Roman" w:hAnsi="Arial Narrow" w:cs="Times New Roman"/>
      <w:b/>
      <w:bCs/>
      <w:sz w:val="20"/>
      <w:szCs w:val="20"/>
      <w:lang w:val="x-none" w:eastAsia="fr-FR"/>
    </w:rPr>
  </w:style>
  <w:style w:type="paragraph" w:styleId="Textedebulles">
    <w:name w:val="Balloon Text"/>
    <w:basedOn w:val="Normal"/>
    <w:link w:val="TextedebullesCar"/>
    <w:uiPriority w:val="99"/>
    <w:semiHidden/>
    <w:unhideWhenUsed/>
    <w:rsid w:val="00B7610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104"/>
    <w:rPr>
      <w:rFonts w:ascii="Segoe UI" w:eastAsia="Times New Roman" w:hAnsi="Segoe UI" w:cs="Segoe UI"/>
      <w:bCs/>
      <w:sz w:val="18"/>
      <w:szCs w:val="18"/>
      <w:lang w:eastAsia="fr-FR"/>
    </w:rPr>
  </w:style>
  <w:style w:type="character" w:styleId="Lienhypertextesuivivisit">
    <w:name w:val="FollowedHyperlink"/>
    <w:basedOn w:val="Policepardfaut"/>
    <w:uiPriority w:val="99"/>
    <w:semiHidden/>
    <w:unhideWhenUsed/>
    <w:rsid w:val="00285720"/>
    <w:rPr>
      <w:color w:val="954F72" w:themeColor="followedHyperlink"/>
      <w:u w:val="single"/>
    </w:rPr>
  </w:style>
  <w:style w:type="paragraph" w:styleId="Corpsdetexte2">
    <w:name w:val="Body Text 2"/>
    <w:basedOn w:val="Normal"/>
    <w:link w:val="Corpsdetexte2Car"/>
    <w:rsid w:val="001B07CC"/>
    <w:pPr>
      <w:jc w:val="center"/>
    </w:pPr>
    <w:rPr>
      <w:rFonts w:ascii="Times New Roman Bold" w:hAnsi="Times New Roman Bold"/>
      <w:b/>
      <w:bCs w:val="0"/>
      <w:smallCaps/>
      <w:sz w:val="28"/>
      <w:szCs w:val="20"/>
      <w:lang w:eastAsia="en-US"/>
    </w:rPr>
  </w:style>
  <w:style w:type="character" w:customStyle="1" w:styleId="Corpsdetexte2Car">
    <w:name w:val="Corps de texte 2 Car"/>
    <w:basedOn w:val="Policepardfaut"/>
    <w:link w:val="Corpsdetexte2"/>
    <w:rsid w:val="001B07CC"/>
    <w:rPr>
      <w:rFonts w:ascii="Times New Roman Bold" w:eastAsia="Times New Roman" w:hAnsi="Times New Roman Bold" w:cs="Times New Roman"/>
      <w:b/>
      <w:smallCaps/>
      <w:sz w:val="28"/>
      <w:szCs w:val="20"/>
    </w:rPr>
  </w:style>
  <w:style w:type="paragraph" w:customStyle="1" w:styleId="BankNormal">
    <w:name w:val="BankNormal"/>
    <w:basedOn w:val="Normal"/>
    <w:rsid w:val="001B07CC"/>
    <w:pPr>
      <w:spacing w:after="240"/>
    </w:pPr>
    <w:rPr>
      <w:rFonts w:ascii="Times New Roman" w:hAnsi="Times New Roman"/>
      <w:bCs w:val="0"/>
      <w:szCs w:val="20"/>
      <w:lang w:eastAsia="en-US"/>
    </w:rPr>
  </w:style>
  <w:style w:type="paragraph" w:styleId="Retraitcorpsdetexte">
    <w:name w:val="Body Text Indent"/>
    <w:basedOn w:val="Normal"/>
    <w:link w:val="RetraitcorpsdetexteCar"/>
    <w:uiPriority w:val="99"/>
    <w:semiHidden/>
    <w:unhideWhenUsed/>
    <w:rsid w:val="001B07CC"/>
    <w:pPr>
      <w:spacing w:after="120"/>
      <w:ind w:left="283"/>
    </w:pPr>
  </w:style>
  <w:style w:type="character" w:customStyle="1" w:styleId="RetraitcorpsdetexteCar">
    <w:name w:val="Retrait corps de texte Car"/>
    <w:basedOn w:val="Policepardfaut"/>
    <w:link w:val="Retraitcorpsdetexte"/>
    <w:uiPriority w:val="99"/>
    <w:semiHidden/>
    <w:rsid w:val="001B07CC"/>
    <w:rPr>
      <w:rFonts w:ascii="Arial Narrow" w:eastAsia="Times New Roman" w:hAnsi="Arial Narrow" w:cs="Times New Roman"/>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uagcp@gmail.com" TargetMode="External"/><Relationship Id="rId4" Type="http://schemas.openxmlformats.org/officeDocument/2006/relationships/webSettings" Target="webSettings.xml"/><Relationship Id="rId9" Type="http://schemas.openxmlformats.org/officeDocument/2006/relationships/hyperlink" Target="mailto:tenders.uagcp@gmail.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1373</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Mickael Camara</dc:creator>
  <cp:keywords/>
  <dc:description/>
  <cp:lastModifiedBy>UAGCP-1</cp:lastModifiedBy>
  <cp:revision>17</cp:revision>
  <cp:lastPrinted>2023-12-08T17:07:00Z</cp:lastPrinted>
  <dcterms:created xsi:type="dcterms:W3CDTF">2023-10-28T08:37:00Z</dcterms:created>
  <dcterms:modified xsi:type="dcterms:W3CDTF">2023-12-08T17:11:00Z</dcterms:modified>
</cp:coreProperties>
</file>