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0" w:type="dxa"/>
        <w:tblInd w:w="-714" w:type="dxa"/>
        <w:tblCellMar>
          <w:left w:w="0" w:type="dxa"/>
          <w:right w:w="0" w:type="dxa"/>
        </w:tblCellMar>
        <w:tblLook w:val="04A0" w:firstRow="1" w:lastRow="0" w:firstColumn="1" w:lastColumn="0" w:noHBand="0" w:noVBand="1"/>
      </w:tblPr>
      <w:tblGrid>
        <w:gridCol w:w="1423"/>
        <w:gridCol w:w="2186"/>
        <w:gridCol w:w="3609"/>
        <w:gridCol w:w="2065"/>
        <w:gridCol w:w="1547"/>
      </w:tblGrid>
      <w:tr w:rsidR="00F907C3" w:rsidRPr="006C7E7D" w14:paraId="1674FD8B" w14:textId="77777777" w:rsidTr="008665CA">
        <w:trPr>
          <w:trHeight w:val="1483"/>
        </w:trPr>
        <w:tc>
          <w:tcPr>
            <w:tcW w:w="1423" w:type="dxa"/>
            <w:shd w:val="clear" w:color="auto" w:fill="auto"/>
          </w:tcPr>
          <w:p w14:paraId="0827F9A5" w14:textId="77777777" w:rsidR="00F907C3" w:rsidRPr="006C7E7D" w:rsidRDefault="00F907C3" w:rsidP="008665CA">
            <w:pPr>
              <w:pStyle w:val="En-tte"/>
              <w:jc w:val="center"/>
              <w:rPr>
                <w:sz w:val="28"/>
                <w:szCs w:val="28"/>
              </w:rPr>
            </w:pPr>
            <w:bookmarkStart w:id="0" w:name="_Hlk60908852"/>
            <w:r w:rsidRPr="006C7E7D">
              <w:rPr>
                <w:noProof/>
                <w:sz w:val="28"/>
                <w:szCs w:val="28"/>
                <w:lang w:val="en-US" w:eastAsia="en-US"/>
              </w:rPr>
              <w:drawing>
                <wp:inline distT="0" distB="0" distL="0" distR="0" wp14:anchorId="518F4A3D" wp14:editId="011FD750">
                  <wp:extent cx="825500" cy="838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838200"/>
                          </a:xfrm>
                          <a:prstGeom prst="rect">
                            <a:avLst/>
                          </a:prstGeom>
                          <a:noFill/>
                          <a:ln>
                            <a:noFill/>
                          </a:ln>
                        </pic:spPr>
                      </pic:pic>
                    </a:graphicData>
                  </a:graphic>
                </wp:inline>
              </w:drawing>
            </w:r>
          </w:p>
        </w:tc>
        <w:tc>
          <w:tcPr>
            <w:tcW w:w="7860" w:type="dxa"/>
            <w:gridSpan w:val="3"/>
            <w:shd w:val="clear" w:color="auto" w:fill="auto"/>
          </w:tcPr>
          <w:p w14:paraId="00A0DF6D" w14:textId="77777777" w:rsidR="00F907C3" w:rsidRPr="006C7E7D" w:rsidRDefault="00F907C3" w:rsidP="008665CA">
            <w:pPr>
              <w:pStyle w:val="En-tte"/>
              <w:jc w:val="center"/>
              <w:rPr>
                <w:b/>
                <w:bCs/>
              </w:rPr>
            </w:pPr>
            <w:r w:rsidRPr="006C7E7D">
              <w:rPr>
                <w:b/>
                <w:bCs/>
              </w:rPr>
              <w:t>REPUBLIQUE DE GUINEE</w:t>
            </w:r>
          </w:p>
          <w:p w14:paraId="36A7F9B8" w14:textId="77777777" w:rsidR="00F907C3" w:rsidRPr="006C7E7D" w:rsidRDefault="00F907C3" w:rsidP="008665CA">
            <w:pPr>
              <w:pStyle w:val="En-tte"/>
              <w:jc w:val="center"/>
            </w:pPr>
            <w:r w:rsidRPr="006C7E7D">
              <w:rPr>
                <w:color w:val="FF0000"/>
              </w:rPr>
              <w:t>Travail</w:t>
            </w:r>
            <w:r w:rsidRPr="006C7E7D">
              <w:t>-</w:t>
            </w:r>
            <w:r w:rsidRPr="006C7E7D">
              <w:rPr>
                <w:color w:val="FFC000"/>
              </w:rPr>
              <w:t>Justice</w:t>
            </w:r>
            <w:r w:rsidRPr="006C7E7D">
              <w:t>-</w:t>
            </w:r>
            <w:r w:rsidRPr="006C7E7D">
              <w:rPr>
                <w:color w:val="00B050"/>
              </w:rPr>
              <w:t>Solidarité</w:t>
            </w:r>
          </w:p>
          <w:p w14:paraId="6523C642" w14:textId="77777777" w:rsidR="00F907C3" w:rsidRPr="006C7E7D" w:rsidRDefault="00F907C3" w:rsidP="008665CA">
            <w:pPr>
              <w:pStyle w:val="En-tte"/>
              <w:spacing w:before="120" w:after="120"/>
              <w:jc w:val="center"/>
              <w:rPr>
                <w:b/>
                <w:bCs/>
              </w:rPr>
            </w:pPr>
            <w:r w:rsidRPr="006C7E7D">
              <w:rPr>
                <w:b/>
                <w:bCs/>
              </w:rPr>
              <w:t>MINISTERE DE LA SANTE</w:t>
            </w:r>
          </w:p>
          <w:p w14:paraId="2879C30C" w14:textId="77777777" w:rsidR="00F907C3" w:rsidRDefault="00F907C3" w:rsidP="008665CA">
            <w:pPr>
              <w:pStyle w:val="En-tte"/>
              <w:jc w:val="center"/>
              <w:rPr>
                <w:b/>
                <w:bCs/>
              </w:rPr>
            </w:pPr>
            <w:r w:rsidRPr="006C7E7D">
              <w:rPr>
                <w:b/>
                <w:bCs/>
              </w:rPr>
              <w:t>UNITE D'APPUI A LA GESTION ET A LA COORDINATION DES PROGRAMMES (UAGCP)</w:t>
            </w:r>
          </w:p>
          <w:p w14:paraId="623C5A81" w14:textId="77777777" w:rsidR="00F907C3" w:rsidRPr="006C7E7D" w:rsidRDefault="00F907C3" w:rsidP="008665CA">
            <w:pPr>
              <w:pStyle w:val="En-tte"/>
              <w:jc w:val="center"/>
            </w:pPr>
          </w:p>
        </w:tc>
        <w:tc>
          <w:tcPr>
            <w:tcW w:w="1547" w:type="dxa"/>
            <w:shd w:val="clear" w:color="auto" w:fill="auto"/>
          </w:tcPr>
          <w:p w14:paraId="4068FB14" w14:textId="77777777" w:rsidR="00F907C3" w:rsidRPr="006C7E7D" w:rsidRDefault="00F907C3" w:rsidP="008665CA">
            <w:pPr>
              <w:pStyle w:val="En-tte"/>
              <w:jc w:val="center"/>
              <w:rPr>
                <w:sz w:val="28"/>
                <w:szCs w:val="28"/>
              </w:rPr>
            </w:pPr>
            <w:r w:rsidRPr="006C7E7D">
              <w:rPr>
                <w:noProof/>
                <w:sz w:val="28"/>
                <w:szCs w:val="28"/>
                <w:lang w:val="en-US" w:eastAsia="en-US"/>
              </w:rPr>
              <w:drawing>
                <wp:inline distT="0" distB="0" distL="0" distR="0" wp14:anchorId="3D93C0AD" wp14:editId="6853718E">
                  <wp:extent cx="7493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inline>
              </w:drawing>
            </w:r>
          </w:p>
        </w:tc>
      </w:tr>
      <w:bookmarkEnd w:id="0"/>
      <w:tr w:rsidR="00F907C3" w:rsidRPr="006C7E7D" w14:paraId="7E6C2AB5" w14:textId="77777777" w:rsidTr="008665CA">
        <w:trPr>
          <w:trHeight w:val="80"/>
        </w:trPr>
        <w:tc>
          <w:tcPr>
            <w:tcW w:w="3609" w:type="dxa"/>
            <w:gridSpan w:val="2"/>
            <w:shd w:val="clear" w:color="auto" w:fill="FF0000"/>
          </w:tcPr>
          <w:p w14:paraId="212F77B8" w14:textId="77777777" w:rsidR="00F907C3" w:rsidRPr="006C7E7D" w:rsidRDefault="00F907C3" w:rsidP="008665CA">
            <w:pPr>
              <w:pStyle w:val="En-tte"/>
              <w:jc w:val="center"/>
              <w:rPr>
                <w:noProof/>
                <w:sz w:val="16"/>
                <w:szCs w:val="16"/>
              </w:rPr>
            </w:pPr>
          </w:p>
        </w:tc>
        <w:tc>
          <w:tcPr>
            <w:tcW w:w="3609" w:type="dxa"/>
            <w:shd w:val="clear" w:color="auto" w:fill="FFFF00"/>
          </w:tcPr>
          <w:p w14:paraId="3510867E" w14:textId="77777777" w:rsidR="00F907C3" w:rsidRPr="006B6415" w:rsidRDefault="00F907C3" w:rsidP="008665CA">
            <w:pPr>
              <w:pStyle w:val="En-tte"/>
              <w:jc w:val="center"/>
              <w:rPr>
                <w:sz w:val="12"/>
                <w:szCs w:val="12"/>
              </w:rPr>
            </w:pPr>
          </w:p>
        </w:tc>
        <w:tc>
          <w:tcPr>
            <w:tcW w:w="3610" w:type="dxa"/>
            <w:gridSpan w:val="2"/>
            <w:shd w:val="clear" w:color="auto" w:fill="00B050"/>
          </w:tcPr>
          <w:p w14:paraId="56044F89" w14:textId="77777777" w:rsidR="00F907C3" w:rsidRPr="006C7E7D" w:rsidRDefault="00F907C3" w:rsidP="008665CA">
            <w:pPr>
              <w:pStyle w:val="En-tte"/>
              <w:rPr>
                <w:noProof/>
                <w:sz w:val="6"/>
                <w:szCs w:val="6"/>
              </w:rPr>
            </w:pPr>
          </w:p>
        </w:tc>
      </w:tr>
    </w:tbl>
    <w:p w14:paraId="16AF7032" w14:textId="77777777" w:rsidR="00F907C3" w:rsidRPr="006C7E7D" w:rsidRDefault="00F907C3" w:rsidP="00F907C3">
      <w:pPr>
        <w:jc w:val="center"/>
        <w:rPr>
          <w:rFonts w:ascii="Times New Roman" w:hAnsi="Times New Roman"/>
          <w:b/>
          <w:bCs w:val="0"/>
          <w:sz w:val="28"/>
          <w:szCs w:val="28"/>
        </w:rPr>
      </w:pPr>
    </w:p>
    <w:p w14:paraId="636FED2D" w14:textId="77777777" w:rsidR="00F907C3" w:rsidRPr="006C7E7D" w:rsidRDefault="00F907C3" w:rsidP="00F907C3">
      <w:pPr>
        <w:spacing w:line="276" w:lineRule="auto"/>
        <w:jc w:val="center"/>
        <w:rPr>
          <w:rFonts w:ascii="Times New Roman" w:hAnsi="Times New Roman"/>
          <w:b/>
        </w:rPr>
      </w:pPr>
      <w:r w:rsidRPr="006C7E7D">
        <w:rPr>
          <w:rFonts w:ascii="Times New Roman" w:hAnsi="Times New Roman"/>
          <w:b/>
        </w:rPr>
        <w:t xml:space="preserve">AVIS </w:t>
      </w:r>
      <w:r>
        <w:rPr>
          <w:rFonts w:ascii="Times New Roman" w:hAnsi="Times New Roman"/>
          <w:b/>
        </w:rPr>
        <w:t>D’APPEL A MANIFESTATION</w:t>
      </w:r>
      <w:r w:rsidRPr="006C7E7D">
        <w:rPr>
          <w:rFonts w:ascii="Times New Roman" w:hAnsi="Times New Roman"/>
          <w:b/>
        </w:rPr>
        <w:t xml:space="preserve"> D’INTERET N°0</w:t>
      </w:r>
      <w:r>
        <w:rPr>
          <w:rFonts w:ascii="Times New Roman" w:hAnsi="Times New Roman"/>
          <w:b/>
        </w:rPr>
        <w:t>2</w:t>
      </w:r>
      <w:r w:rsidR="000C5680">
        <w:rPr>
          <w:rFonts w:ascii="Times New Roman" w:hAnsi="Times New Roman"/>
          <w:b/>
        </w:rPr>
        <w:t>4</w:t>
      </w:r>
      <w:r w:rsidRPr="006C7E7D">
        <w:rPr>
          <w:rFonts w:ascii="Times New Roman" w:hAnsi="Times New Roman"/>
          <w:b/>
        </w:rPr>
        <w:t>/2023/SI/AO</w:t>
      </w:r>
      <w:r>
        <w:rPr>
          <w:rFonts w:ascii="Times New Roman" w:hAnsi="Times New Roman"/>
          <w:b/>
        </w:rPr>
        <w:t>N</w:t>
      </w:r>
      <w:r w:rsidRPr="006C7E7D">
        <w:rPr>
          <w:rFonts w:ascii="Times New Roman" w:hAnsi="Times New Roman"/>
          <w:b/>
        </w:rPr>
        <w:t>/FM/UAGCP</w:t>
      </w:r>
    </w:p>
    <w:p w14:paraId="57EACE55" w14:textId="77777777" w:rsidR="00F907C3" w:rsidRPr="006C7E7D" w:rsidRDefault="00F907C3" w:rsidP="00F907C3">
      <w:pPr>
        <w:ind w:left="900" w:hanging="900"/>
        <w:jc w:val="both"/>
        <w:rPr>
          <w:rFonts w:ascii="Times New Roman" w:hAnsi="Times New Roman"/>
          <w:b/>
          <w:sz w:val="14"/>
          <w:szCs w:val="14"/>
          <w:lang w:val="fr-CA"/>
        </w:rPr>
      </w:pPr>
    </w:p>
    <w:p w14:paraId="65FA7DCD" w14:textId="77777777" w:rsidR="000C5680" w:rsidRDefault="00F907C3" w:rsidP="000C5680">
      <w:pPr>
        <w:ind w:left="851" w:hanging="851"/>
        <w:jc w:val="both"/>
        <w:rPr>
          <w:rFonts w:ascii="Times New Roman" w:hAnsi="Times New Roman"/>
          <w:b/>
        </w:rPr>
      </w:pPr>
      <w:r w:rsidRPr="006C7E7D">
        <w:rPr>
          <w:rFonts w:ascii="Times New Roman" w:hAnsi="Times New Roman"/>
          <w:b/>
          <w:sz w:val="22"/>
          <w:szCs w:val="22"/>
          <w:u w:val="single"/>
          <w:lang w:val="fr-CA"/>
        </w:rPr>
        <w:t>TITRE</w:t>
      </w:r>
      <w:r w:rsidRPr="006C7E7D">
        <w:rPr>
          <w:rFonts w:ascii="Times New Roman" w:hAnsi="Times New Roman"/>
          <w:b/>
          <w:sz w:val="22"/>
          <w:szCs w:val="22"/>
          <w:lang w:val="fr-CA"/>
        </w:rPr>
        <w:t xml:space="preserve"> : </w:t>
      </w:r>
      <w:bookmarkStart w:id="1" w:name="_Hlk86831500"/>
      <w:bookmarkStart w:id="2" w:name="_Hlk86754904"/>
      <w:r w:rsidR="000C5680" w:rsidRPr="000C5680">
        <w:rPr>
          <w:rFonts w:ascii="Times New Roman" w:hAnsi="Times New Roman"/>
          <w:b/>
        </w:rPr>
        <w:t>RECRUTEMENT D’UN CONSULTANT NATIONAL POUR LA REALISATION DE L’ENQUETE NATIONALE DE L’ÉVALUATION DES INDICATEURS D’ALERTE PRÉCOCE ARV DANS LES SITES DE PRISE EN CHARGE A GRANDE COHORTE EN GUINEE, 2023</w:t>
      </w:r>
    </w:p>
    <w:p w14:paraId="55B90307" w14:textId="77777777" w:rsidR="000C5680" w:rsidRPr="00C5634E" w:rsidRDefault="000C5680" w:rsidP="000C5680">
      <w:pPr>
        <w:ind w:left="851" w:hanging="851"/>
        <w:jc w:val="both"/>
        <w:rPr>
          <w:rFonts w:ascii="Cambria" w:hAnsi="Cambria"/>
          <w:b/>
          <w:sz w:val="32"/>
          <w:szCs w:val="28"/>
        </w:rPr>
      </w:pPr>
    </w:p>
    <w:p w14:paraId="35B6106A" w14:textId="77777777" w:rsidR="00F907C3" w:rsidRPr="006C7E7D" w:rsidRDefault="00F907C3" w:rsidP="000C5680">
      <w:pPr>
        <w:spacing w:after="120"/>
        <w:ind w:left="902" w:hanging="902"/>
        <w:jc w:val="both"/>
        <w:rPr>
          <w:rFonts w:ascii="Times New Roman" w:hAnsi="Times New Roman"/>
          <w:b/>
          <w:bCs w:val="0"/>
          <w:sz w:val="22"/>
        </w:rPr>
      </w:pPr>
      <w:r w:rsidRPr="006C7E7D">
        <w:rPr>
          <w:rFonts w:ascii="Times New Roman" w:hAnsi="Times New Roman"/>
          <w:b/>
          <w:bCs w:val="0"/>
          <w:sz w:val="22"/>
          <w:lang w:val="fr-CA"/>
        </w:rPr>
        <w:t>FINANCEMENT </w:t>
      </w:r>
      <w:r w:rsidRPr="006C7E7D">
        <w:rPr>
          <w:rFonts w:ascii="Times New Roman" w:hAnsi="Times New Roman"/>
          <w:b/>
          <w:bCs w:val="0"/>
          <w:sz w:val="22"/>
        </w:rPr>
        <w:t>: Fonds Mondial</w:t>
      </w:r>
    </w:p>
    <w:bookmarkEnd w:id="1"/>
    <w:bookmarkEnd w:id="2"/>
    <w:p w14:paraId="24A0896D" w14:textId="77777777" w:rsidR="00F907C3" w:rsidRPr="008C6487" w:rsidRDefault="00F907C3" w:rsidP="00F907C3">
      <w:pPr>
        <w:pBdr>
          <w:top w:val="single" w:sz="4" w:space="1" w:color="auto"/>
        </w:pBdr>
        <w:tabs>
          <w:tab w:val="num" w:pos="720"/>
        </w:tabs>
        <w:jc w:val="both"/>
        <w:rPr>
          <w:rFonts w:ascii="Times New Roman" w:hAnsi="Times New Roman"/>
          <w:bCs w:val="0"/>
          <w:sz w:val="14"/>
          <w:szCs w:val="14"/>
        </w:rPr>
      </w:pPr>
    </w:p>
    <w:p w14:paraId="3DC4E90C" w14:textId="77777777" w:rsidR="00941C84" w:rsidRDefault="00941C84" w:rsidP="000C5680">
      <w:pPr>
        <w:tabs>
          <w:tab w:val="left" w:pos="2535"/>
        </w:tabs>
        <w:jc w:val="both"/>
        <w:rPr>
          <w:rFonts w:ascii="Times New Roman" w:hAnsi="Times New Roman"/>
          <w:sz w:val="22"/>
          <w:szCs w:val="22"/>
        </w:rPr>
      </w:pPr>
    </w:p>
    <w:p w14:paraId="462D5204" w14:textId="77777777" w:rsidR="000C5680" w:rsidRPr="000C5680" w:rsidRDefault="000C5680" w:rsidP="000C5680">
      <w:pPr>
        <w:tabs>
          <w:tab w:val="left" w:pos="2535"/>
        </w:tabs>
        <w:jc w:val="both"/>
        <w:rPr>
          <w:rFonts w:ascii="Times New Roman" w:hAnsi="Times New Roman"/>
          <w:sz w:val="22"/>
          <w:szCs w:val="22"/>
        </w:rPr>
      </w:pPr>
      <w:r w:rsidRPr="000C5680">
        <w:rPr>
          <w:rFonts w:ascii="Times New Roman" w:hAnsi="Times New Roman"/>
          <w:sz w:val="22"/>
          <w:szCs w:val="22"/>
        </w:rPr>
        <w:t>En Guinée, la prévalence du VIH dans la population générale est de 1,5%</w:t>
      </w:r>
      <w:r w:rsidRPr="000C5680">
        <w:rPr>
          <w:rStyle w:val="Appelnotedebasdep"/>
          <w:rFonts w:ascii="Times New Roman" w:hAnsi="Times New Roman"/>
          <w:sz w:val="22"/>
          <w:szCs w:val="22"/>
        </w:rPr>
        <w:footnoteReference w:id="1"/>
      </w:r>
      <w:r w:rsidRPr="000C5680">
        <w:rPr>
          <w:rFonts w:ascii="Times New Roman" w:hAnsi="Times New Roman"/>
          <w:sz w:val="22"/>
          <w:szCs w:val="22"/>
        </w:rPr>
        <w:t>. Les femmes (prévalence : 1,6%) sont légèrement plus infectées que les hommes (prévalence : 1,3 %). Il en résulte un ratio d’infection de 1,23 entre les femmes et les hommes (123 femmes infectées pour 100 hommes). Au niveau régional, cette prévalence est plus élevée dans la région de Boké (égale à 2,0%) et inférieure à 1% dans la région de Kankan (égale à 0,7%). Chez les femmes enceintes, cette prévalence est de 1,5%</w:t>
      </w:r>
      <w:r w:rsidRPr="000C5680">
        <w:rPr>
          <w:rStyle w:val="Appelnotedebasdep"/>
          <w:rFonts w:ascii="Times New Roman" w:hAnsi="Times New Roman"/>
          <w:sz w:val="22"/>
          <w:szCs w:val="22"/>
        </w:rPr>
        <w:footnoteReference w:id="2"/>
      </w:r>
      <w:r w:rsidRPr="000C5680">
        <w:rPr>
          <w:rFonts w:ascii="Times New Roman" w:hAnsi="Times New Roman"/>
          <w:sz w:val="22"/>
          <w:szCs w:val="22"/>
        </w:rPr>
        <w:t>, avec de grandes variations en régions : 3,4% dans la région de Boké, 1,4% dans la région de N’</w:t>
      </w:r>
      <w:proofErr w:type="spellStart"/>
      <w:r w:rsidRPr="000C5680">
        <w:rPr>
          <w:rFonts w:ascii="Times New Roman" w:hAnsi="Times New Roman"/>
          <w:sz w:val="22"/>
          <w:szCs w:val="22"/>
        </w:rPr>
        <w:t>Zérékoré</w:t>
      </w:r>
      <w:proofErr w:type="spellEnd"/>
      <w:r w:rsidRPr="000C5680">
        <w:rPr>
          <w:rFonts w:ascii="Times New Roman" w:hAnsi="Times New Roman"/>
          <w:sz w:val="22"/>
          <w:szCs w:val="22"/>
        </w:rPr>
        <w:t xml:space="preserve"> et 1,9% dans la région spéciale de Conakry.</w:t>
      </w:r>
    </w:p>
    <w:p w14:paraId="53B0496E" w14:textId="77777777" w:rsidR="000C5680" w:rsidRPr="000C5680" w:rsidRDefault="000C5680" w:rsidP="000C5680">
      <w:pPr>
        <w:jc w:val="both"/>
        <w:rPr>
          <w:rFonts w:ascii="Times New Roman" w:hAnsi="Times New Roman"/>
          <w:sz w:val="22"/>
          <w:szCs w:val="22"/>
        </w:rPr>
      </w:pPr>
    </w:p>
    <w:p w14:paraId="2CFDE2F8" w14:textId="77777777" w:rsidR="000C5680" w:rsidRPr="000C5680" w:rsidRDefault="000C5680" w:rsidP="000C5680">
      <w:pPr>
        <w:jc w:val="both"/>
        <w:rPr>
          <w:rFonts w:ascii="Times New Roman" w:hAnsi="Times New Roman"/>
          <w:sz w:val="22"/>
          <w:szCs w:val="22"/>
          <w:lang w:val="fr-CA"/>
        </w:rPr>
      </w:pPr>
      <w:r w:rsidRPr="000C5680">
        <w:rPr>
          <w:rFonts w:ascii="Times New Roman" w:hAnsi="Times New Roman"/>
          <w:sz w:val="22"/>
          <w:szCs w:val="22"/>
          <w:lang w:val="fr-CA"/>
        </w:rPr>
        <w:t xml:space="preserve">L’offre des soins repose sur les structures opérationnelles que constituent les formations sanitaires, </w:t>
      </w:r>
      <w:r w:rsidRPr="000C5680">
        <w:rPr>
          <w:rFonts w:ascii="Times New Roman" w:hAnsi="Times New Roman"/>
          <w:iCs/>
          <w:sz w:val="22"/>
          <w:szCs w:val="22"/>
          <w:lang w:val="fr-CA"/>
        </w:rPr>
        <w:t>réparties selon leur statut juridique en 4 sous-secteurs</w:t>
      </w:r>
      <w:r w:rsidRPr="000C5680">
        <w:rPr>
          <w:rFonts w:ascii="Times New Roman" w:hAnsi="Times New Roman"/>
          <w:sz w:val="22"/>
          <w:szCs w:val="22"/>
          <w:lang w:val="fr-CA"/>
        </w:rPr>
        <w:t> :</w:t>
      </w:r>
    </w:p>
    <w:p w14:paraId="22F90E0D" w14:textId="77777777" w:rsidR="000C5680" w:rsidRPr="000C5680" w:rsidRDefault="000C5680" w:rsidP="000C5680">
      <w:pPr>
        <w:numPr>
          <w:ilvl w:val="0"/>
          <w:numId w:val="5"/>
        </w:numPr>
        <w:spacing w:line="276" w:lineRule="auto"/>
        <w:jc w:val="both"/>
        <w:rPr>
          <w:rFonts w:ascii="Times New Roman" w:hAnsi="Times New Roman"/>
          <w:sz w:val="22"/>
          <w:szCs w:val="22"/>
          <w:lang w:val="fr-CA"/>
        </w:rPr>
      </w:pPr>
      <w:r w:rsidRPr="000C5680">
        <w:rPr>
          <w:rFonts w:ascii="Times New Roman" w:hAnsi="Times New Roman"/>
          <w:sz w:val="22"/>
          <w:szCs w:val="22"/>
          <w:lang w:val="fr-CA"/>
        </w:rPr>
        <w:t>Le sous-secteur public, dispose de :</w:t>
      </w:r>
    </w:p>
    <w:p w14:paraId="479CC6EA" w14:textId="77777777" w:rsidR="000C5680" w:rsidRPr="000C5680" w:rsidRDefault="000C5680" w:rsidP="000C5680">
      <w:pPr>
        <w:numPr>
          <w:ilvl w:val="1"/>
          <w:numId w:val="6"/>
        </w:numPr>
        <w:spacing w:line="276" w:lineRule="auto"/>
        <w:ind w:left="709" w:hanging="283"/>
        <w:jc w:val="both"/>
        <w:rPr>
          <w:rFonts w:ascii="Times New Roman" w:hAnsi="Times New Roman"/>
          <w:sz w:val="22"/>
          <w:szCs w:val="22"/>
          <w:lang w:val="fr-CA"/>
        </w:rPr>
      </w:pPr>
      <w:r w:rsidRPr="000C5680">
        <w:rPr>
          <w:rFonts w:ascii="Times New Roman" w:hAnsi="Times New Roman"/>
          <w:sz w:val="22"/>
          <w:szCs w:val="22"/>
          <w:lang w:val="fr-CA"/>
        </w:rPr>
        <w:t>Au niveau central : 3 hôpitaux nationaux (</w:t>
      </w:r>
      <w:proofErr w:type="spellStart"/>
      <w:r w:rsidRPr="000C5680">
        <w:rPr>
          <w:rFonts w:ascii="Times New Roman" w:hAnsi="Times New Roman"/>
          <w:sz w:val="22"/>
          <w:szCs w:val="22"/>
          <w:lang w:val="fr-CA"/>
        </w:rPr>
        <w:t>Donka</w:t>
      </w:r>
      <w:proofErr w:type="spellEnd"/>
      <w:r w:rsidRPr="000C5680">
        <w:rPr>
          <w:rFonts w:ascii="Times New Roman" w:hAnsi="Times New Roman"/>
          <w:sz w:val="22"/>
          <w:szCs w:val="22"/>
          <w:lang w:val="fr-CA"/>
        </w:rPr>
        <w:t xml:space="preserve">, Ignace </w:t>
      </w:r>
      <w:proofErr w:type="spellStart"/>
      <w:r w:rsidRPr="000C5680">
        <w:rPr>
          <w:rFonts w:ascii="Times New Roman" w:hAnsi="Times New Roman"/>
          <w:sz w:val="22"/>
          <w:szCs w:val="22"/>
          <w:lang w:val="fr-CA"/>
        </w:rPr>
        <w:t>Deen</w:t>
      </w:r>
      <w:proofErr w:type="spellEnd"/>
      <w:r w:rsidRPr="000C5680">
        <w:rPr>
          <w:rFonts w:ascii="Times New Roman" w:hAnsi="Times New Roman"/>
          <w:sz w:val="22"/>
          <w:szCs w:val="22"/>
          <w:lang w:val="fr-CA"/>
        </w:rPr>
        <w:t xml:space="preserve"> et </w:t>
      </w:r>
      <w:proofErr w:type="spellStart"/>
      <w:r w:rsidRPr="000C5680">
        <w:rPr>
          <w:rFonts w:ascii="Times New Roman" w:hAnsi="Times New Roman"/>
          <w:sz w:val="22"/>
          <w:szCs w:val="22"/>
          <w:lang w:val="fr-CA"/>
        </w:rPr>
        <w:t>Kipé</w:t>
      </w:r>
      <w:proofErr w:type="spellEnd"/>
      <w:r w:rsidRPr="000C5680">
        <w:rPr>
          <w:rFonts w:ascii="Times New Roman" w:hAnsi="Times New Roman"/>
          <w:sz w:val="22"/>
          <w:szCs w:val="22"/>
          <w:lang w:val="fr-CA"/>
        </w:rPr>
        <w:t>) ;</w:t>
      </w:r>
    </w:p>
    <w:p w14:paraId="6487CFB4" w14:textId="77777777" w:rsidR="000C5680" w:rsidRPr="000C5680" w:rsidRDefault="000C5680" w:rsidP="000C5680">
      <w:pPr>
        <w:numPr>
          <w:ilvl w:val="1"/>
          <w:numId w:val="6"/>
        </w:numPr>
        <w:spacing w:line="276" w:lineRule="auto"/>
        <w:ind w:left="709" w:hanging="283"/>
        <w:jc w:val="both"/>
        <w:rPr>
          <w:rFonts w:ascii="Times New Roman" w:hAnsi="Times New Roman"/>
          <w:sz w:val="22"/>
          <w:szCs w:val="22"/>
          <w:lang w:val="fr-CA"/>
        </w:rPr>
      </w:pPr>
      <w:r w:rsidRPr="000C5680">
        <w:rPr>
          <w:rFonts w:ascii="Times New Roman" w:hAnsi="Times New Roman"/>
          <w:sz w:val="22"/>
          <w:szCs w:val="22"/>
          <w:lang w:val="fr-CA"/>
        </w:rPr>
        <w:t>Au niveau intermédiaire : 7 hôpitaux régionaux ;</w:t>
      </w:r>
    </w:p>
    <w:p w14:paraId="49381E48" w14:textId="77777777" w:rsidR="000C5680" w:rsidRPr="000C5680" w:rsidRDefault="000C5680" w:rsidP="000C5680">
      <w:pPr>
        <w:numPr>
          <w:ilvl w:val="1"/>
          <w:numId w:val="6"/>
        </w:numPr>
        <w:spacing w:line="276" w:lineRule="auto"/>
        <w:ind w:left="709" w:hanging="283"/>
        <w:jc w:val="both"/>
        <w:rPr>
          <w:rFonts w:ascii="Times New Roman" w:hAnsi="Times New Roman"/>
          <w:sz w:val="22"/>
          <w:szCs w:val="22"/>
          <w:lang w:val="fr-CA"/>
        </w:rPr>
      </w:pPr>
      <w:r w:rsidRPr="000C5680">
        <w:rPr>
          <w:rFonts w:ascii="Times New Roman" w:hAnsi="Times New Roman"/>
          <w:sz w:val="22"/>
          <w:szCs w:val="22"/>
          <w:lang w:val="fr-CA"/>
        </w:rPr>
        <w:t>Au niveau périphérique: 26 hôpitaux préfectoraux, 7 centres médicaux de commune (CMC) dont 5 à Conakry, 420 centres de santé et 925 postes de santé.</w:t>
      </w:r>
    </w:p>
    <w:p w14:paraId="08EE8D98" w14:textId="77777777" w:rsidR="000C5680" w:rsidRPr="000C5680" w:rsidRDefault="000C5680" w:rsidP="000C5680">
      <w:pPr>
        <w:ind w:left="709"/>
        <w:jc w:val="both"/>
        <w:rPr>
          <w:rFonts w:ascii="Times New Roman" w:hAnsi="Times New Roman"/>
          <w:sz w:val="22"/>
          <w:szCs w:val="22"/>
          <w:lang w:val="fr-CA"/>
        </w:rPr>
      </w:pPr>
    </w:p>
    <w:p w14:paraId="42BAC71A" w14:textId="77777777" w:rsidR="000C5680" w:rsidRPr="000C5680" w:rsidRDefault="000C5680" w:rsidP="000C5680">
      <w:pPr>
        <w:numPr>
          <w:ilvl w:val="0"/>
          <w:numId w:val="5"/>
        </w:numPr>
        <w:spacing w:line="276" w:lineRule="auto"/>
        <w:jc w:val="both"/>
        <w:rPr>
          <w:rFonts w:ascii="Times New Roman" w:hAnsi="Times New Roman"/>
          <w:sz w:val="22"/>
          <w:szCs w:val="22"/>
          <w:lang w:val="fr-CA"/>
        </w:rPr>
      </w:pPr>
      <w:r w:rsidRPr="000C5680">
        <w:rPr>
          <w:rFonts w:ascii="Times New Roman" w:hAnsi="Times New Roman"/>
          <w:sz w:val="22"/>
          <w:szCs w:val="22"/>
          <w:lang w:val="fr-CA"/>
        </w:rPr>
        <w:t xml:space="preserve">Le sous-secteur parapublic dispose de 3 hôpitaux d’entreprises minières (CBG, </w:t>
      </w:r>
      <w:proofErr w:type="spellStart"/>
      <w:r w:rsidRPr="000C5680">
        <w:rPr>
          <w:rFonts w:ascii="Times New Roman" w:hAnsi="Times New Roman"/>
          <w:sz w:val="22"/>
          <w:szCs w:val="22"/>
          <w:lang w:val="fr-CA"/>
        </w:rPr>
        <w:t>Friguia</w:t>
      </w:r>
      <w:proofErr w:type="spellEnd"/>
      <w:r w:rsidRPr="000C5680">
        <w:rPr>
          <w:rFonts w:ascii="Times New Roman" w:hAnsi="Times New Roman"/>
          <w:sz w:val="22"/>
          <w:szCs w:val="22"/>
          <w:lang w:val="fr-CA"/>
        </w:rPr>
        <w:t xml:space="preserve">, SAG), 8 dispensaires (SMD, CBK, Rio Tinto, CBG Conakry, CBG </w:t>
      </w:r>
      <w:proofErr w:type="spellStart"/>
      <w:r w:rsidRPr="000C5680">
        <w:rPr>
          <w:rFonts w:ascii="Times New Roman" w:hAnsi="Times New Roman"/>
          <w:sz w:val="22"/>
          <w:szCs w:val="22"/>
          <w:lang w:val="fr-CA"/>
        </w:rPr>
        <w:t>Sangarédi</w:t>
      </w:r>
      <w:proofErr w:type="spellEnd"/>
      <w:r w:rsidRPr="000C5680">
        <w:rPr>
          <w:rFonts w:ascii="Times New Roman" w:hAnsi="Times New Roman"/>
          <w:sz w:val="22"/>
          <w:szCs w:val="22"/>
          <w:lang w:val="fr-CA"/>
        </w:rPr>
        <w:t xml:space="preserve">, </w:t>
      </w:r>
      <w:proofErr w:type="spellStart"/>
      <w:r w:rsidRPr="000C5680">
        <w:rPr>
          <w:rFonts w:ascii="Times New Roman" w:hAnsi="Times New Roman"/>
          <w:sz w:val="22"/>
          <w:szCs w:val="22"/>
          <w:lang w:val="fr-CA"/>
        </w:rPr>
        <w:t>Kiniéro</w:t>
      </w:r>
      <w:proofErr w:type="spellEnd"/>
      <w:r w:rsidRPr="000C5680">
        <w:rPr>
          <w:rFonts w:ascii="Times New Roman" w:hAnsi="Times New Roman"/>
          <w:sz w:val="22"/>
          <w:szCs w:val="22"/>
          <w:lang w:val="fr-CA"/>
        </w:rPr>
        <w:t xml:space="preserve">, GAC et </w:t>
      </w:r>
      <w:proofErr w:type="spellStart"/>
      <w:r w:rsidRPr="000C5680">
        <w:rPr>
          <w:rFonts w:ascii="Times New Roman" w:hAnsi="Times New Roman"/>
          <w:sz w:val="22"/>
          <w:szCs w:val="22"/>
          <w:lang w:val="fr-CA"/>
        </w:rPr>
        <w:t>Débélé</w:t>
      </w:r>
      <w:proofErr w:type="spellEnd"/>
      <w:r w:rsidRPr="000C5680">
        <w:rPr>
          <w:rFonts w:ascii="Times New Roman" w:hAnsi="Times New Roman"/>
          <w:sz w:val="22"/>
          <w:szCs w:val="22"/>
          <w:lang w:val="fr-CA"/>
        </w:rPr>
        <w:t>) et centre de santé (SOGUIPAH).</w:t>
      </w:r>
    </w:p>
    <w:p w14:paraId="127503D8" w14:textId="77777777" w:rsidR="000C5680" w:rsidRPr="000C5680" w:rsidRDefault="000C5680" w:rsidP="000C5680">
      <w:pPr>
        <w:numPr>
          <w:ilvl w:val="0"/>
          <w:numId w:val="5"/>
        </w:numPr>
        <w:spacing w:line="276" w:lineRule="auto"/>
        <w:jc w:val="both"/>
        <w:rPr>
          <w:rFonts w:ascii="Times New Roman" w:hAnsi="Times New Roman"/>
          <w:sz w:val="22"/>
          <w:szCs w:val="22"/>
          <w:lang w:val="fr-CA"/>
        </w:rPr>
      </w:pPr>
      <w:r w:rsidRPr="000C5680">
        <w:rPr>
          <w:rFonts w:ascii="Times New Roman" w:hAnsi="Times New Roman"/>
          <w:sz w:val="22"/>
          <w:szCs w:val="22"/>
          <w:lang w:val="fr-CA"/>
        </w:rPr>
        <w:t>Le sous-secteur privé, est constitué du privé lucratif et du privé non lucratif (ONG et confessions religieuses). Le sous-secteur privé médical compte 10 polycliniques, 25 cliniques, 3 hôpitaux d’entreprise, 254 cabinets de consultation, 18 cabinets dentaires, 15 cabinets de sage-femmes, 148 cabinets de soins infirmiers et 5 centres de santé associatifs ou confessionnels.</w:t>
      </w:r>
    </w:p>
    <w:p w14:paraId="4A20F298" w14:textId="77777777" w:rsidR="000C5680" w:rsidRPr="000C5680" w:rsidRDefault="000C5680" w:rsidP="000C5680">
      <w:pPr>
        <w:numPr>
          <w:ilvl w:val="0"/>
          <w:numId w:val="5"/>
        </w:numPr>
        <w:jc w:val="both"/>
        <w:rPr>
          <w:rFonts w:ascii="Times New Roman" w:hAnsi="Times New Roman"/>
          <w:sz w:val="22"/>
          <w:szCs w:val="22"/>
          <w:lang w:val="fr-CA"/>
        </w:rPr>
      </w:pPr>
      <w:r w:rsidRPr="000C5680">
        <w:rPr>
          <w:rFonts w:ascii="Times New Roman" w:hAnsi="Times New Roman"/>
          <w:sz w:val="22"/>
          <w:szCs w:val="22"/>
          <w:lang w:val="fr-CA"/>
        </w:rPr>
        <w:t>Le sous-secteur communautaire est constitué de services à base communautaire avec des agents de santé communautaires et les prestataires de la médecine traditionnelle.</w:t>
      </w:r>
    </w:p>
    <w:p w14:paraId="6D078596" w14:textId="77777777" w:rsidR="000C5680" w:rsidRPr="000C5680" w:rsidRDefault="000C5680" w:rsidP="000C5680">
      <w:pPr>
        <w:jc w:val="both"/>
        <w:rPr>
          <w:rFonts w:ascii="Times New Roman" w:hAnsi="Times New Roman"/>
          <w:sz w:val="22"/>
          <w:szCs w:val="22"/>
        </w:rPr>
      </w:pPr>
    </w:p>
    <w:p w14:paraId="549CB990" w14:textId="77777777" w:rsidR="000C5680" w:rsidRPr="000C5680" w:rsidRDefault="000C5680" w:rsidP="000C5680">
      <w:pPr>
        <w:tabs>
          <w:tab w:val="left" w:pos="2535"/>
        </w:tabs>
        <w:jc w:val="both"/>
        <w:rPr>
          <w:rFonts w:ascii="Times New Roman" w:hAnsi="Times New Roman"/>
          <w:sz w:val="22"/>
          <w:szCs w:val="22"/>
        </w:rPr>
      </w:pPr>
      <w:r w:rsidRPr="000C5680">
        <w:rPr>
          <w:rFonts w:ascii="Times New Roman" w:hAnsi="Times New Roman"/>
          <w:sz w:val="22"/>
          <w:szCs w:val="22"/>
        </w:rPr>
        <w:lastRenderedPageBreak/>
        <w:t xml:space="preserve">Dans le cadre du renforcement et de la décentralisation de la réponse au VIH/Sida, la République de Guinée a sollicité et obtenu du Fonds mondial de lutte contre le sida, la tuberculose et le paludisme, une subvention pour la période 2021-2023. Une partie de cette subvention est destinée à réduire la mortalité et la morbidité chez les adultes et les enfants vivant avec le VIH grâce à un meilleur accès au traitement (y compris le traitement de la coïnfection TB/VIH), aux soins et au soutien des personnes vivant avec le VIH. Le Ministère de la Santé à travers le Programme National de lutte contre le Sida et les hépatites (PNLSH) est récipiendaire principal de la subvention VIH volet Traitement. </w:t>
      </w:r>
    </w:p>
    <w:p w14:paraId="1B879CB6" w14:textId="77777777" w:rsidR="000C5680" w:rsidRPr="000C5680" w:rsidRDefault="000C5680" w:rsidP="000C5680">
      <w:pPr>
        <w:tabs>
          <w:tab w:val="left" w:pos="2535"/>
        </w:tabs>
        <w:jc w:val="both"/>
        <w:rPr>
          <w:rFonts w:ascii="Times New Roman" w:hAnsi="Times New Roman"/>
          <w:sz w:val="22"/>
          <w:szCs w:val="22"/>
        </w:rPr>
      </w:pPr>
    </w:p>
    <w:p w14:paraId="3C93ABF6" w14:textId="77777777" w:rsidR="000C5680" w:rsidRPr="000C5680" w:rsidRDefault="000C5680" w:rsidP="000C5680">
      <w:pPr>
        <w:tabs>
          <w:tab w:val="left" w:pos="2535"/>
        </w:tabs>
        <w:jc w:val="both"/>
        <w:rPr>
          <w:rFonts w:ascii="Times New Roman" w:hAnsi="Times New Roman"/>
          <w:sz w:val="22"/>
          <w:szCs w:val="22"/>
        </w:rPr>
      </w:pPr>
      <w:r w:rsidRPr="000C5680">
        <w:rPr>
          <w:rFonts w:ascii="Times New Roman" w:hAnsi="Times New Roman"/>
          <w:sz w:val="22"/>
          <w:szCs w:val="22"/>
        </w:rPr>
        <w:t>Pour la mise en œuvre de cette subvention, le PNLSH :</w:t>
      </w:r>
    </w:p>
    <w:p w14:paraId="0838DEE7" w14:textId="77777777" w:rsidR="000C5680" w:rsidRPr="000C5680" w:rsidRDefault="000C5680" w:rsidP="000C5680">
      <w:pPr>
        <w:pStyle w:val="Paragraphedeliste"/>
        <w:numPr>
          <w:ilvl w:val="0"/>
          <w:numId w:val="3"/>
        </w:numPr>
        <w:spacing w:line="276" w:lineRule="auto"/>
        <w:ind w:left="426" w:hanging="284"/>
        <w:jc w:val="both"/>
        <w:rPr>
          <w:rFonts w:ascii="Times New Roman" w:hAnsi="Times New Roman"/>
          <w:sz w:val="22"/>
          <w:szCs w:val="22"/>
        </w:rPr>
      </w:pPr>
      <w:r w:rsidRPr="000C5680">
        <w:rPr>
          <w:rFonts w:ascii="Times New Roman" w:hAnsi="Times New Roman"/>
          <w:sz w:val="22"/>
          <w:szCs w:val="22"/>
        </w:rPr>
        <w:t>Travaille directement avec :</w:t>
      </w:r>
    </w:p>
    <w:p w14:paraId="08CBF1ED" w14:textId="77777777" w:rsidR="000C5680" w:rsidRPr="000C5680" w:rsidRDefault="000C5680" w:rsidP="000C5680">
      <w:pPr>
        <w:pStyle w:val="Paragraphedeliste"/>
        <w:numPr>
          <w:ilvl w:val="0"/>
          <w:numId w:val="4"/>
        </w:numPr>
        <w:spacing w:line="276" w:lineRule="auto"/>
        <w:ind w:left="709" w:hanging="283"/>
        <w:jc w:val="both"/>
        <w:rPr>
          <w:rFonts w:ascii="Times New Roman" w:hAnsi="Times New Roman"/>
          <w:sz w:val="22"/>
          <w:szCs w:val="22"/>
        </w:rPr>
      </w:pPr>
      <w:r w:rsidRPr="000C5680">
        <w:rPr>
          <w:rFonts w:ascii="Times New Roman" w:hAnsi="Times New Roman"/>
          <w:sz w:val="22"/>
          <w:szCs w:val="22"/>
        </w:rPr>
        <w:t>Quatre (04) sous-récipiendaires : UNICEF, JHPIEGO, CRF et FMG ;</w:t>
      </w:r>
    </w:p>
    <w:p w14:paraId="130CD8CF" w14:textId="77777777" w:rsidR="000C5680" w:rsidRPr="000C5680" w:rsidRDefault="000C5680" w:rsidP="000C5680">
      <w:pPr>
        <w:pStyle w:val="Paragraphedeliste"/>
        <w:numPr>
          <w:ilvl w:val="0"/>
          <w:numId w:val="4"/>
        </w:numPr>
        <w:spacing w:line="276" w:lineRule="auto"/>
        <w:ind w:left="709" w:hanging="283"/>
        <w:jc w:val="both"/>
        <w:rPr>
          <w:rFonts w:ascii="Times New Roman" w:hAnsi="Times New Roman"/>
          <w:sz w:val="22"/>
          <w:szCs w:val="22"/>
        </w:rPr>
      </w:pPr>
      <w:r w:rsidRPr="000C5680">
        <w:rPr>
          <w:rFonts w:ascii="Times New Roman" w:hAnsi="Times New Roman"/>
          <w:sz w:val="22"/>
          <w:szCs w:val="22"/>
        </w:rPr>
        <w:t>Quatre (04) prestataires de services : PCG, INSP, DREAM, CRS et REGAP+ ;</w:t>
      </w:r>
    </w:p>
    <w:p w14:paraId="6EE62A27" w14:textId="77777777" w:rsidR="000C5680" w:rsidRPr="000C5680" w:rsidRDefault="000C5680" w:rsidP="000C5680">
      <w:pPr>
        <w:pStyle w:val="Paragraphedeliste"/>
        <w:numPr>
          <w:ilvl w:val="0"/>
          <w:numId w:val="4"/>
        </w:numPr>
        <w:spacing w:line="276" w:lineRule="auto"/>
        <w:ind w:left="709" w:hanging="283"/>
        <w:jc w:val="both"/>
        <w:rPr>
          <w:rFonts w:ascii="Times New Roman" w:hAnsi="Times New Roman"/>
          <w:sz w:val="22"/>
          <w:szCs w:val="22"/>
        </w:rPr>
      </w:pPr>
      <w:r w:rsidRPr="000C5680">
        <w:rPr>
          <w:rFonts w:ascii="Times New Roman" w:hAnsi="Times New Roman"/>
          <w:sz w:val="22"/>
          <w:szCs w:val="22"/>
        </w:rPr>
        <w:t>Tous les districts sanitaires et toutes les DRS.</w:t>
      </w:r>
    </w:p>
    <w:p w14:paraId="12A5814C" w14:textId="77777777" w:rsidR="000C5680" w:rsidRPr="000C5680" w:rsidRDefault="000C5680" w:rsidP="000C5680">
      <w:pPr>
        <w:pStyle w:val="Paragraphedeliste"/>
        <w:numPr>
          <w:ilvl w:val="0"/>
          <w:numId w:val="3"/>
        </w:numPr>
        <w:ind w:left="426" w:hanging="284"/>
        <w:jc w:val="both"/>
        <w:rPr>
          <w:rFonts w:ascii="Times New Roman" w:hAnsi="Times New Roman"/>
          <w:sz w:val="22"/>
          <w:szCs w:val="22"/>
        </w:rPr>
      </w:pPr>
      <w:r w:rsidRPr="000C5680">
        <w:rPr>
          <w:rFonts w:ascii="Times New Roman" w:hAnsi="Times New Roman"/>
          <w:sz w:val="22"/>
          <w:szCs w:val="22"/>
        </w:rPr>
        <w:t xml:space="preserve">Collabore étroitement avec : </w:t>
      </w:r>
      <w:proofErr w:type="spellStart"/>
      <w:r w:rsidRPr="000C5680">
        <w:rPr>
          <w:rFonts w:ascii="Times New Roman" w:hAnsi="Times New Roman"/>
          <w:sz w:val="22"/>
          <w:szCs w:val="22"/>
        </w:rPr>
        <w:t>Solthis</w:t>
      </w:r>
      <w:proofErr w:type="spellEnd"/>
      <w:r w:rsidRPr="000C5680">
        <w:rPr>
          <w:rFonts w:ascii="Times New Roman" w:hAnsi="Times New Roman"/>
          <w:sz w:val="22"/>
          <w:szCs w:val="22"/>
        </w:rPr>
        <w:t>, MSF-Belgique, PLAN Guinée, SNIS, DNSF, UGL, etc.</w:t>
      </w:r>
    </w:p>
    <w:p w14:paraId="725DF535" w14:textId="77777777" w:rsidR="000C5680" w:rsidRPr="00B67223" w:rsidRDefault="000C5680" w:rsidP="000C5680">
      <w:pPr>
        <w:jc w:val="both"/>
        <w:rPr>
          <w:rFonts w:ascii="Times New Roman" w:hAnsi="Times New Roman"/>
          <w:sz w:val="16"/>
          <w:szCs w:val="16"/>
        </w:rPr>
      </w:pPr>
    </w:p>
    <w:p w14:paraId="1994DFBA" w14:textId="77777777" w:rsidR="000C5680" w:rsidRPr="000C5680" w:rsidRDefault="000C5680" w:rsidP="000C5680">
      <w:pPr>
        <w:jc w:val="both"/>
        <w:rPr>
          <w:rFonts w:ascii="Times New Roman" w:hAnsi="Times New Roman"/>
          <w:sz w:val="22"/>
          <w:szCs w:val="22"/>
        </w:rPr>
      </w:pPr>
      <w:r w:rsidRPr="000C5680">
        <w:rPr>
          <w:rFonts w:ascii="Times New Roman" w:hAnsi="Times New Roman"/>
          <w:sz w:val="22"/>
          <w:szCs w:val="22"/>
        </w:rPr>
        <w:t xml:space="preserve">Le programme cible et bénéficie aux groupes suivants : </w:t>
      </w:r>
    </w:p>
    <w:p w14:paraId="7F57A494" w14:textId="77777777" w:rsidR="000C5680" w:rsidRPr="000C5680" w:rsidRDefault="000C5680" w:rsidP="000C5680">
      <w:pPr>
        <w:pStyle w:val="Paragraphedeliste"/>
        <w:numPr>
          <w:ilvl w:val="0"/>
          <w:numId w:val="3"/>
        </w:numPr>
        <w:spacing w:line="276" w:lineRule="auto"/>
        <w:ind w:left="426" w:hanging="284"/>
        <w:jc w:val="both"/>
        <w:rPr>
          <w:rFonts w:ascii="Times New Roman" w:hAnsi="Times New Roman"/>
          <w:sz w:val="22"/>
          <w:szCs w:val="22"/>
        </w:rPr>
      </w:pPr>
      <w:r w:rsidRPr="000C5680">
        <w:rPr>
          <w:rFonts w:ascii="Times New Roman" w:hAnsi="Times New Roman"/>
          <w:sz w:val="22"/>
          <w:szCs w:val="22"/>
        </w:rPr>
        <w:t xml:space="preserve">Adultes et enfants vivant avec le VIH/sida ; </w:t>
      </w:r>
    </w:p>
    <w:p w14:paraId="6051C2F1" w14:textId="77777777" w:rsidR="000C5680" w:rsidRPr="000C5680" w:rsidRDefault="000C5680" w:rsidP="000C5680">
      <w:pPr>
        <w:pStyle w:val="Paragraphedeliste"/>
        <w:numPr>
          <w:ilvl w:val="0"/>
          <w:numId w:val="3"/>
        </w:numPr>
        <w:spacing w:line="276" w:lineRule="auto"/>
        <w:ind w:left="426" w:hanging="284"/>
        <w:jc w:val="both"/>
        <w:rPr>
          <w:rFonts w:ascii="Times New Roman" w:hAnsi="Times New Roman"/>
          <w:sz w:val="22"/>
          <w:szCs w:val="22"/>
        </w:rPr>
      </w:pPr>
      <w:r w:rsidRPr="000C5680">
        <w:rPr>
          <w:rFonts w:ascii="Times New Roman" w:hAnsi="Times New Roman"/>
          <w:sz w:val="22"/>
          <w:szCs w:val="22"/>
        </w:rPr>
        <w:t>Femmes enceintes ;</w:t>
      </w:r>
    </w:p>
    <w:p w14:paraId="3BB07716" w14:textId="77777777" w:rsidR="000C5680" w:rsidRPr="000C5680" w:rsidRDefault="000C5680" w:rsidP="000C5680">
      <w:pPr>
        <w:pStyle w:val="Paragraphedeliste"/>
        <w:numPr>
          <w:ilvl w:val="0"/>
          <w:numId w:val="3"/>
        </w:numPr>
        <w:spacing w:line="276" w:lineRule="auto"/>
        <w:ind w:left="426" w:hanging="284"/>
        <w:jc w:val="both"/>
        <w:rPr>
          <w:rFonts w:ascii="Times New Roman" w:hAnsi="Times New Roman"/>
          <w:sz w:val="22"/>
          <w:szCs w:val="22"/>
        </w:rPr>
      </w:pPr>
      <w:r w:rsidRPr="000C5680">
        <w:rPr>
          <w:rFonts w:ascii="Times New Roman" w:hAnsi="Times New Roman"/>
          <w:sz w:val="22"/>
          <w:szCs w:val="22"/>
        </w:rPr>
        <w:t>Nourrissons nés de mères séropositives ;</w:t>
      </w:r>
    </w:p>
    <w:p w14:paraId="7BD5512B" w14:textId="77777777" w:rsidR="000C5680" w:rsidRPr="000C5680" w:rsidRDefault="000C5680" w:rsidP="000C5680">
      <w:pPr>
        <w:pStyle w:val="Paragraphedeliste"/>
        <w:numPr>
          <w:ilvl w:val="0"/>
          <w:numId w:val="3"/>
        </w:numPr>
        <w:spacing w:line="276" w:lineRule="auto"/>
        <w:ind w:left="426" w:hanging="284"/>
        <w:jc w:val="both"/>
        <w:rPr>
          <w:rFonts w:ascii="Times New Roman" w:hAnsi="Times New Roman"/>
          <w:sz w:val="22"/>
          <w:szCs w:val="22"/>
        </w:rPr>
      </w:pPr>
      <w:r w:rsidRPr="000C5680">
        <w:rPr>
          <w:rFonts w:ascii="Times New Roman" w:hAnsi="Times New Roman"/>
          <w:sz w:val="22"/>
          <w:szCs w:val="22"/>
        </w:rPr>
        <w:t>Patients coinfectés VIH/TB ;</w:t>
      </w:r>
    </w:p>
    <w:p w14:paraId="4197D815" w14:textId="77777777" w:rsidR="000C5680" w:rsidRPr="000C5680" w:rsidRDefault="000C5680" w:rsidP="000C5680">
      <w:pPr>
        <w:pStyle w:val="Paragraphedeliste"/>
        <w:numPr>
          <w:ilvl w:val="0"/>
          <w:numId w:val="3"/>
        </w:numPr>
        <w:spacing w:line="276" w:lineRule="auto"/>
        <w:ind w:left="426" w:hanging="284"/>
        <w:jc w:val="both"/>
        <w:rPr>
          <w:rFonts w:ascii="Times New Roman" w:hAnsi="Times New Roman"/>
          <w:sz w:val="22"/>
          <w:szCs w:val="22"/>
        </w:rPr>
      </w:pPr>
      <w:r w:rsidRPr="000C5680">
        <w:rPr>
          <w:rFonts w:ascii="Times New Roman" w:hAnsi="Times New Roman"/>
          <w:sz w:val="22"/>
          <w:szCs w:val="22"/>
        </w:rPr>
        <w:t>Patients coinfectés VIH/Hépatites ;</w:t>
      </w:r>
    </w:p>
    <w:p w14:paraId="79496209" w14:textId="77777777" w:rsidR="000C5680" w:rsidRPr="000C5680" w:rsidRDefault="000C5680" w:rsidP="000C5680">
      <w:pPr>
        <w:pStyle w:val="Paragraphedeliste"/>
        <w:numPr>
          <w:ilvl w:val="0"/>
          <w:numId w:val="3"/>
        </w:numPr>
        <w:spacing w:line="276" w:lineRule="auto"/>
        <w:ind w:left="426" w:hanging="284"/>
        <w:jc w:val="both"/>
        <w:rPr>
          <w:rFonts w:ascii="Times New Roman" w:hAnsi="Times New Roman"/>
          <w:sz w:val="22"/>
          <w:szCs w:val="22"/>
        </w:rPr>
      </w:pPr>
      <w:r w:rsidRPr="000C5680">
        <w:rPr>
          <w:rFonts w:ascii="Times New Roman" w:hAnsi="Times New Roman"/>
          <w:sz w:val="22"/>
          <w:szCs w:val="22"/>
        </w:rPr>
        <w:t>Populations clés : PS, HSH, UDI, TRANS GENRE ;</w:t>
      </w:r>
    </w:p>
    <w:p w14:paraId="0F42ED42" w14:textId="77777777" w:rsidR="000C5680" w:rsidRPr="000C5680" w:rsidRDefault="000C5680" w:rsidP="000C5680">
      <w:pPr>
        <w:pStyle w:val="Paragraphedeliste"/>
        <w:numPr>
          <w:ilvl w:val="0"/>
          <w:numId w:val="3"/>
        </w:numPr>
        <w:spacing w:line="276" w:lineRule="auto"/>
        <w:ind w:left="426" w:hanging="284"/>
        <w:jc w:val="both"/>
        <w:rPr>
          <w:rFonts w:ascii="Times New Roman" w:hAnsi="Times New Roman"/>
          <w:sz w:val="22"/>
          <w:szCs w:val="22"/>
        </w:rPr>
      </w:pPr>
      <w:r w:rsidRPr="000C5680">
        <w:rPr>
          <w:rFonts w:ascii="Times New Roman" w:hAnsi="Times New Roman"/>
          <w:sz w:val="22"/>
          <w:szCs w:val="22"/>
        </w:rPr>
        <w:t>Populations vulnérables : miniers, routiers, hommes en uniforme, populations carcérales, pêcheurs, jeunes.</w:t>
      </w:r>
    </w:p>
    <w:p w14:paraId="1594A55E" w14:textId="77777777" w:rsidR="000C5680" w:rsidRPr="00B67223" w:rsidRDefault="000C5680" w:rsidP="000C5680">
      <w:pPr>
        <w:jc w:val="both"/>
        <w:rPr>
          <w:rFonts w:ascii="Times New Roman" w:hAnsi="Times New Roman"/>
          <w:sz w:val="16"/>
          <w:szCs w:val="16"/>
        </w:rPr>
      </w:pPr>
    </w:p>
    <w:p w14:paraId="0298B6F5" w14:textId="77777777" w:rsidR="000C5680" w:rsidRPr="000C5680" w:rsidRDefault="000C5680" w:rsidP="000C5680">
      <w:pPr>
        <w:jc w:val="both"/>
        <w:rPr>
          <w:rFonts w:ascii="Times New Roman" w:hAnsi="Times New Roman"/>
          <w:sz w:val="22"/>
          <w:szCs w:val="22"/>
        </w:rPr>
      </w:pPr>
      <w:r w:rsidRPr="000C5680">
        <w:rPr>
          <w:rFonts w:ascii="Times New Roman" w:hAnsi="Times New Roman"/>
          <w:sz w:val="22"/>
          <w:szCs w:val="22"/>
        </w:rPr>
        <w:t>S’agissant de l’offre des services en matière de traitement, le pays compte 203 sites au niveau desquels les services de prise en charge (PEC) du VIH ont été intégrés, 521 sites PTME et 259 sites de CDV.</w:t>
      </w:r>
    </w:p>
    <w:p w14:paraId="37AF8422" w14:textId="77777777" w:rsidR="000C5680" w:rsidRPr="000C5680" w:rsidRDefault="000C5680" w:rsidP="000C5680">
      <w:pPr>
        <w:jc w:val="both"/>
        <w:rPr>
          <w:rFonts w:ascii="Times New Roman" w:hAnsi="Times New Roman"/>
          <w:sz w:val="22"/>
          <w:szCs w:val="22"/>
        </w:rPr>
      </w:pPr>
    </w:p>
    <w:p w14:paraId="636CEFDB" w14:textId="77777777" w:rsidR="000C5680" w:rsidRPr="000C5680" w:rsidRDefault="000C5680" w:rsidP="000C5680">
      <w:pPr>
        <w:shd w:val="clear" w:color="auto" w:fill="FFFFFF"/>
        <w:jc w:val="both"/>
        <w:rPr>
          <w:rFonts w:ascii="Times New Roman" w:hAnsi="Times New Roman"/>
          <w:sz w:val="22"/>
          <w:szCs w:val="22"/>
        </w:rPr>
      </w:pPr>
      <w:r w:rsidRPr="000C5680">
        <w:rPr>
          <w:rFonts w:ascii="Times New Roman" w:hAnsi="Times New Roman"/>
          <w:sz w:val="22"/>
          <w:szCs w:val="22"/>
        </w:rPr>
        <w:t>Le cadre stratégique national élaboré lors de la reconduction des subventions VIH du Fonds mondial au titre de la période 2021- 2023 a permis entre autres :</w:t>
      </w:r>
    </w:p>
    <w:p w14:paraId="653A9DCA" w14:textId="77777777" w:rsidR="000C5680" w:rsidRPr="000C5680" w:rsidRDefault="000C5680" w:rsidP="000C5680">
      <w:pPr>
        <w:jc w:val="both"/>
        <w:rPr>
          <w:rFonts w:ascii="Times New Roman" w:hAnsi="Times New Roman"/>
          <w:sz w:val="22"/>
          <w:szCs w:val="22"/>
        </w:rPr>
      </w:pPr>
    </w:p>
    <w:p w14:paraId="14C44A8B" w14:textId="77777777" w:rsidR="000C5680" w:rsidRPr="000C5680" w:rsidRDefault="000C5680" w:rsidP="000C5680">
      <w:pPr>
        <w:pStyle w:val="Paragraphedeliste"/>
        <w:numPr>
          <w:ilvl w:val="0"/>
          <w:numId w:val="7"/>
        </w:numPr>
        <w:spacing w:line="276" w:lineRule="auto"/>
        <w:ind w:left="426" w:hanging="284"/>
        <w:jc w:val="both"/>
        <w:rPr>
          <w:rFonts w:ascii="Times New Roman" w:hAnsi="Times New Roman"/>
          <w:sz w:val="22"/>
          <w:szCs w:val="22"/>
        </w:rPr>
      </w:pPr>
      <w:r w:rsidRPr="000C5680">
        <w:rPr>
          <w:rFonts w:ascii="Times New Roman" w:hAnsi="Times New Roman"/>
          <w:sz w:val="22"/>
          <w:szCs w:val="22"/>
        </w:rPr>
        <w:t>Recenser les besoins de 52 sites parmi les 203 structures sanitaires qui totalisaient 90% de la file active des personnes vivant avec VIH (PVVIH) sous traitement antirétroviral (TARV) au compte des sites PEC à grande cohorte ;</w:t>
      </w:r>
    </w:p>
    <w:p w14:paraId="496C6926" w14:textId="77777777" w:rsidR="000C5680" w:rsidRPr="000C5680" w:rsidRDefault="000C5680" w:rsidP="000C5680">
      <w:pPr>
        <w:pStyle w:val="Paragraphedeliste"/>
        <w:numPr>
          <w:ilvl w:val="0"/>
          <w:numId w:val="7"/>
        </w:numPr>
        <w:spacing w:line="276" w:lineRule="auto"/>
        <w:ind w:left="426" w:hanging="284"/>
        <w:jc w:val="both"/>
        <w:rPr>
          <w:rFonts w:ascii="Times New Roman" w:hAnsi="Times New Roman"/>
          <w:sz w:val="22"/>
          <w:szCs w:val="22"/>
        </w:rPr>
      </w:pPr>
      <w:r w:rsidRPr="000C5680">
        <w:rPr>
          <w:rFonts w:ascii="Times New Roman" w:hAnsi="Times New Roman"/>
          <w:sz w:val="22"/>
          <w:szCs w:val="22"/>
        </w:rPr>
        <w:t>Recenser les besoins de 66 sites PTME retenus comme sites à grande fréquentation en CPN ;</w:t>
      </w:r>
    </w:p>
    <w:p w14:paraId="5F0AA88D" w14:textId="3CCBC17B" w:rsidR="000C5680" w:rsidRPr="000C5680" w:rsidRDefault="000C5680" w:rsidP="000C5680">
      <w:pPr>
        <w:pStyle w:val="Paragraphedeliste"/>
        <w:numPr>
          <w:ilvl w:val="0"/>
          <w:numId w:val="7"/>
        </w:numPr>
        <w:spacing w:line="276" w:lineRule="auto"/>
        <w:ind w:left="426" w:hanging="284"/>
        <w:jc w:val="both"/>
        <w:rPr>
          <w:rFonts w:ascii="Times New Roman" w:hAnsi="Times New Roman"/>
          <w:sz w:val="22"/>
          <w:szCs w:val="22"/>
        </w:rPr>
      </w:pPr>
      <w:r w:rsidRPr="000C5680">
        <w:rPr>
          <w:rFonts w:ascii="Times New Roman" w:hAnsi="Times New Roman"/>
          <w:sz w:val="22"/>
          <w:szCs w:val="22"/>
        </w:rPr>
        <w:t xml:space="preserve">Le passage à l’échelle du dépistage différencié et </w:t>
      </w:r>
      <w:proofErr w:type="spellStart"/>
      <w:r w:rsidRPr="000C5680">
        <w:rPr>
          <w:rFonts w:ascii="Times New Roman" w:hAnsi="Times New Roman"/>
          <w:sz w:val="22"/>
          <w:szCs w:val="22"/>
        </w:rPr>
        <w:t>l</w:t>
      </w:r>
      <w:proofErr w:type="spellEnd"/>
      <w:r w:rsidRPr="000C5680">
        <w:rPr>
          <w:rFonts w:ascii="Times New Roman" w:hAnsi="Times New Roman"/>
          <w:sz w:val="22"/>
          <w:szCs w:val="22"/>
        </w:rPr>
        <w:t xml:space="preserve"> passage à un troisième test de dépistage (</w:t>
      </w:r>
      <w:proofErr w:type="spellStart"/>
      <w:r w:rsidRPr="000C5680">
        <w:rPr>
          <w:rFonts w:ascii="Times New Roman" w:hAnsi="Times New Roman"/>
          <w:sz w:val="22"/>
          <w:szCs w:val="22"/>
        </w:rPr>
        <w:t>multisure</w:t>
      </w:r>
      <w:proofErr w:type="spellEnd"/>
      <w:proofErr w:type="gramStart"/>
      <w:r w:rsidRPr="000C5680">
        <w:rPr>
          <w:rFonts w:ascii="Times New Roman" w:hAnsi="Times New Roman"/>
          <w:sz w:val="22"/>
          <w:szCs w:val="22"/>
        </w:rPr>
        <w:t>);</w:t>
      </w:r>
      <w:proofErr w:type="gramEnd"/>
    </w:p>
    <w:p w14:paraId="36F10995" w14:textId="77777777" w:rsidR="000C5680" w:rsidRPr="000C5680" w:rsidRDefault="000C5680" w:rsidP="000C5680">
      <w:pPr>
        <w:pStyle w:val="Paragraphedeliste"/>
        <w:numPr>
          <w:ilvl w:val="0"/>
          <w:numId w:val="7"/>
        </w:numPr>
        <w:spacing w:line="276" w:lineRule="auto"/>
        <w:ind w:left="426" w:hanging="284"/>
        <w:jc w:val="both"/>
        <w:rPr>
          <w:rFonts w:ascii="Times New Roman" w:hAnsi="Times New Roman"/>
          <w:sz w:val="22"/>
          <w:szCs w:val="22"/>
        </w:rPr>
      </w:pPr>
      <w:r w:rsidRPr="000C5680">
        <w:rPr>
          <w:rFonts w:ascii="Times New Roman" w:hAnsi="Times New Roman"/>
          <w:sz w:val="22"/>
          <w:szCs w:val="22"/>
        </w:rPr>
        <w:t>Rehausser le nombre de prestataires ;</w:t>
      </w:r>
    </w:p>
    <w:p w14:paraId="5809633B" w14:textId="77777777" w:rsidR="000C5680" w:rsidRPr="000C5680" w:rsidRDefault="000C5680" w:rsidP="000C5680">
      <w:pPr>
        <w:pStyle w:val="Paragraphedeliste"/>
        <w:numPr>
          <w:ilvl w:val="0"/>
          <w:numId w:val="7"/>
        </w:numPr>
        <w:spacing w:line="276" w:lineRule="auto"/>
        <w:ind w:left="426" w:hanging="284"/>
        <w:jc w:val="both"/>
        <w:rPr>
          <w:rFonts w:ascii="Times New Roman" w:hAnsi="Times New Roman"/>
          <w:sz w:val="22"/>
          <w:szCs w:val="22"/>
        </w:rPr>
      </w:pPr>
      <w:r w:rsidRPr="000C5680">
        <w:rPr>
          <w:rFonts w:ascii="Times New Roman" w:hAnsi="Times New Roman"/>
          <w:sz w:val="22"/>
          <w:szCs w:val="22"/>
        </w:rPr>
        <w:t>Élaborer une stratégie et un plan opérationnel sur la mesure de la charge virale chez les PVVIH sous TARV ;</w:t>
      </w:r>
    </w:p>
    <w:p w14:paraId="7B30C0EC" w14:textId="77777777" w:rsidR="000C5680" w:rsidRPr="000C5680" w:rsidRDefault="000C5680" w:rsidP="000C5680">
      <w:pPr>
        <w:pStyle w:val="Paragraphedeliste"/>
        <w:numPr>
          <w:ilvl w:val="0"/>
          <w:numId w:val="7"/>
        </w:numPr>
        <w:spacing w:line="276" w:lineRule="auto"/>
        <w:ind w:left="426" w:hanging="284"/>
        <w:jc w:val="both"/>
        <w:rPr>
          <w:rFonts w:ascii="Times New Roman" w:hAnsi="Times New Roman"/>
          <w:sz w:val="22"/>
          <w:szCs w:val="22"/>
        </w:rPr>
      </w:pPr>
      <w:r w:rsidRPr="000C5680">
        <w:rPr>
          <w:rFonts w:ascii="Times New Roman" w:hAnsi="Times New Roman"/>
          <w:sz w:val="22"/>
          <w:szCs w:val="22"/>
        </w:rPr>
        <w:t xml:space="preserve">Élaborer un circuit d’acheminement des échantillons pour la charge virale et pour le dépistage précoce du VIH (ou EID pour </w:t>
      </w:r>
      <w:r w:rsidRPr="000C5680">
        <w:rPr>
          <w:rFonts w:ascii="Times New Roman" w:hAnsi="Times New Roman"/>
          <w:sz w:val="22"/>
          <w:szCs w:val="22"/>
        </w:rPr>
        <w:fldChar w:fldCharType="begin"/>
      </w:r>
      <w:r w:rsidRPr="000C5680">
        <w:rPr>
          <w:rFonts w:ascii="Times New Roman" w:hAnsi="Times New Roman"/>
          <w:sz w:val="22"/>
          <w:szCs w:val="22"/>
        </w:rPr>
        <w:instrText xml:space="preserve"> HYPERLINK "https://www.ncbi.nlm.nih.gov/pmc/articles/PMC6047735/" </w:instrText>
      </w:r>
      <w:r w:rsidRPr="000C5680">
        <w:rPr>
          <w:rFonts w:ascii="Times New Roman" w:hAnsi="Times New Roman"/>
          <w:sz w:val="22"/>
          <w:szCs w:val="22"/>
        </w:rPr>
        <w:fldChar w:fldCharType="separate"/>
      </w:r>
      <w:proofErr w:type="spellStart"/>
      <w:r w:rsidRPr="000C5680">
        <w:rPr>
          <w:rFonts w:ascii="Times New Roman" w:hAnsi="Times New Roman"/>
          <w:sz w:val="22"/>
          <w:szCs w:val="22"/>
        </w:rPr>
        <w:t>Early</w:t>
      </w:r>
      <w:proofErr w:type="spellEnd"/>
      <w:r w:rsidRPr="000C5680">
        <w:rPr>
          <w:rFonts w:ascii="Times New Roman" w:hAnsi="Times New Roman"/>
          <w:sz w:val="22"/>
          <w:szCs w:val="22"/>
        </w:rPr>
        <w:t xml:space="preserve"> Infant HIV </w:t>
      </w:r>
      <w:proofErr w:type="spellStart"/>
      <w:r w:rsidRPr="000C5680">
        <w:rPr>
          <w:rFonts w:ascii="Times New Roman" w:hAnsi="Times New Roman"/>
          <w:sz w:val="22"/>
          <w:szCs w:val="22"/>
        </w:rPr>
        <w:t>Diagnosis</w:t>
      </w:r>
      <w:proofErr w:type="spellEnd"/>
      <w:r w:rsidRPr="000C5680">
        <w:rPr>
          <w:rFonts w:ascii="Times New Roman" w:hAnsi="Times New Roman"/>
          <w:sz w:val="22"/>
          <w:szCs w:val="22"/>
        </w:rPr>
        <w:t>).</w:t>
      </w:r>
    </w:p>
    <w:p w14:paraId="18660C8E" w14:textId="77777777" w:rsidR="000C5680" w:rsidRPr="00B67223" w:rsidRDefault="000C5680" w:rsidP="000C5680">
      <w:pPr>
        <w:shd w:val="clear" w:color="auto" w:fill="FFFFFF"/>
        <w:rPr>
          <w:rFonts w:ascii="Times New Roman" w:hAnsi="Times New Roman"/>
          <w:sz w:val="12"/>
          <w:szCs w:val="12"/>
        </w:rPr>
      </w:pPr>
      <w:r w:rsidRPr="000C5680">
        <w:rPr>
          <w:rFonts w:ascii="Times New Roman" w:hAnsi="Times New Roman"/>
          <w:sz w:val="22"/>
          <w:szCs w:val="22"/>
        </w:rPr>
        <w:fldChar w:fldCharType="end"/>
      </w:r>
    </w:p>
    <w:p w14:paraId="1DFC6FF1" w14:textId="77777777" w:rsidR="000C5680" w:rsidRDefault="000C5680" w:rsidP="000C5680">
      <w:pPr>
        <w:pStyle w:val="Corpsdetexte2"/>
        <w:spacing w:line="276" w:lineRule="auto"/>
        <w:rPr>
          <w:rFonts w:ascii="Times New Roman" w:hAnsi="Times New Roman" w:cs="Times New Roman"/>
          <w:sz w:val="22"/>
          <w:szCs w:val="22"/>
        </w:rPr>
      </w:pPr>
      <w:r w:rsidRPr="000C5680">
        <w:rPr>
          <w:rFonts w:ascii="Times New Roman" w:hAnsi="Times New Roman" w:cs="Times New Roman"/>
          <w:sz w:val="22"/>
          <w:szCs w:val="22"/>
        </w:rPr>
        <w:t>A l’instar des autres pays à ressources limitées, la rétention dans le programme de TARV reste faible en Guinée. Selon le rapport de l’enquête national de l’évaluation des indicateurs d’alerte précoce de 2021, le taux de rétention des patients sous ARV est passée de 11% à six (6) mois à 61% à vingt-quatre mois (24) mois en 2019.</w:t>
      </w:r>
    </w:p>
    <w:p w14:paraId="785F278C" w14:textId="77777777" w:rsidR="00941C84" w:rsidRPr="000C5680" w:rsidRDefault="00941C84" w:rsidP="00941C84">
      <w:pPr>
        <w:pStyle w:val="Corpsdetexte2"/>
        <w:rPr>
          <w:rFonts w:ascii="Times New Roman" w:hAnsi="Times New Roman" w:cs="Times New Roman"/>
          <w:sz w:val="22"/>
          <w:szCs w:val="22"/>
        </w:rPr>
      </w:pPr>
    </w:p>
    <w:p w14:paraId="757D0C22" w14:textId="77777777" w:rsidR="000C5680" w:rsidRDefault="000C5680" w:rsidP="000C5680">
      <w:pPr>
        <w:pStyle w:val="Corpsdetexte2"/>
        <w:spacing w:line="276" w:lineRule="auto"/>
        <w:rPr>
          <w:rFonts w:ascii="Times New Roman" w:hAnsi="Times New Roman" w:cs="Times New Roman"/>
          <w:sz w:val="22"/>
          <w:szCs w:val="22"/>
        </w:rPr>
      </w:pPr>
      <w:r w:rsidRPr="000C5680">
        <w:rPr>
          <w:rFonts w:ascii="Times New Roman" w:hAnsi="Times New Roman" w:cs="Times New Roman"/>
          <w:sz w:val="22"/>
          <w:szCs w:val="22"/>
        </w:rPr>
        <w:lastRenderedPageBreak/>
        <w:t xml:space="preserve">Dans le but d’assurer une mise en œuvre efficace et efficiente de la subvention 2021 -2023, le PNLSH envisage réaliser une enquête nationale de l’évaluation des indicateurs d’alerte précoce dans les cohortes VIH. </w:t>
      </w:r>
    </w:p>
    <w:p w14:paraId="5947724E" w14:textId="77777777" w:rsidR="00941C84" w:rsidRPr="000C5680" w:rsidRDefault="00941C84" w:rsidP="00941C84">
      <w:pPr>
        <w:pStyle w:val="Corpsdetexte2"/>
        <w:rPr>
          <w:rFonts w:ascii="Times New Roman" w:hAnsi="Times New Roman" w:cs="Times New Roman"/>
          <w:sz w:val="22"/>
          <w:szCs w:val="22"/>
        </w:rPr>
      </w:pPr>
    </w:p>
    <w:p w14:paraId="24F90137" w14:textId="0BD06064" w:rsidR="000C5680" w:rsidRDefault="000C5680" w:rsidP="000C5680">
      <w:pPr>
        <w:jc w:val="both"/>
        <w:rPr>
          <w:rFonts w:ascii="Times New Roman" w:hAnsi="Times New Roman"/>
          <w:sz w:val="22"/>
          <w:szCs w:val="22"/>
          <w:lang w:val="x-none"/>
        </w:rPr>
      </w:pPr>
      <w:r w:rsidRPr="000C5680">
        <w:rPr>
          <w:rFonts w:ascii="Times New Roman" w:hAnsi="Times New Roman"/>
          <w:sz w:val="22"/>
          <w:szCs w:val="22"/>
        </w:rPr>
        <w:t>C’est dans ces perspectives que le Programme National de lutte contre le Sida et les Hépatites avec l’appui technique et financier du Fonds mondial de lutte contre le sida, la tuberculose et le paludisme, sollicite l’expertise d’un consultant national pour la réalisation de ladite enquête</w:t>
      </w:r>
      <w:r w:rsidR="00D238C8">
        <w:rPr>
          <w:rFonts w:ascii="Times New Roman" w:hAnsi="Times New Roman"/>
          <w:sz w:val="22"/>
          <w:szCs w:val="22"/>
        </w:rPr>
        <w:t>.</w:t>
      </w:r>
    </w:p>
    <w:p w14:paraId="7FB05D83" w14:textId="77777777" w:rsidR="00941C84" w:rsidRPr="00941C84" w:rsidRDefault="00941C84" w:rsidP="000C5680">
      <w:pPr>
        <w:jc w:val="both"/>
        <w:rPr>
          <w:rFonts w:ascii="Times New Roman" w:hAnsi="Times New Roman"/>
          <w:sz w:val="22"/>
          <w:szCs w:val="22"/>
          <w:lang w:val="x-none"/>
        </w:rPr>
      </w:pPr>
    </w:p>
    <w:p w14:paraId="2C00762F" w14:textId="77777777" w:rsidR="00F907C3" w:rsidRDefault="00F907C3" w:rsidP="00941C84">
      <w:pPr>
        <w:tabs>
          <w:tab w:val="num" w:pos="720"/>
        </w:tabs>
        <w:jc w:val="both"/>
        <w:rPr>
          <w:rFonts w:ascii="Times New Roman" w:hAnsi="Times New Roman"/>
          <w:sz w:val="22"/>
          <w:szCs w:val="22"/>
        </w:rPr>
      </w:pPr>
      <w:r w:rsidRPr="006C7E7D">
        <w:rPr>
          <w:rFonts w:ascii="Times New Roman" w:hAnsi="Times New Roman"/>
          <w:sz w:val="22"/>
          <w:szCs w:val="22"/>
        </w:rPr>
        <w:t xml:space="preserve">La participation à la concurrence est ouverte à égalité de conditions à tous les consultants individuels de qualification et expertise suffisantes exigées par type de consultance. </w:t>
      </w:r>
    </w:p>
    <w:p w14:paraId="28C2ABD6" w14:textId="77777777" w:rsidR="00F907C3" w:rsidRPr="00E42993" w:rsidRDefault="00F907C3" w:rsidP="00F907C3">
      <w:pPr>
        <w:tabs>
          <w:tab w:val="num" w:pos="720"/>
        </w:tabs>
        <w:spacing w:before="120"/>
        <w:jc w:val="both"/>
        <w:rPr>
          <w:rFonts w:ascii="Times New Roman" w:hAnsi="Times New Roman"/>
          <w:sz w:val="22"/>
          <w:szCs w:val="22"/>
        </w:rPr>
      </w:pPr>
      <w:r w:rsidRPr="006C7E7D">
        <w:rPr>
          <w:rFonts w:ascii="Times New Roman" w:hAnsi="Times New Roman"/>
          <w:sz w:val="22"/>
          <w:szCs w:val="22"/>
        </w:rPr>
        <w:t xml:space="preserve">Les candidats intéressés sont invités à manifester leur intérêt pour la prestation des services décrits dans les Termes de référence dont la copie est obtenue </w:t>
      </w:r>
      <w:r w:rsidRPr="00E42993">
        <w:rPr>
          <w:rFonts w:ascii="Times New Roman" w:hAnsi="Times New Roman"/>
          <w:sz w:val="22"/>
          <w:szCs w:val="22"/>
        </w:rPr>
        <w:t xml:space="preserve">sur demande envoyée à l’adresse électronique suivant :  </w:t>
      </w:r>
      <w:hyperlink r:id="rId9" w:history="1">
        <w:r w:rsidRPr="00E42993">
          <w:rPr>
            <w:rStyle w:val="Lienhypertexte"/>
            <w:rFonts w:ascii="Times New Roman" w:hAnsi="Times New Roman"/>
            <w:sz w:val="22"/>
            <w:szCs w:val="22"/>
          </w:rPr>
          <w:t>tenders.uagcp@gmail.com</w:t>
        </w:r>
      </w:hyperlink>
      <w:r w:rsidRPr="00E42993">
        <w:rPr>
          <w:rStyle w:val="Lienhypertexte"/>
          <w:rFonts w:ascii="Times New Roman" w:hAnsi="Times New Roman"/>
          <w:sz w:val="22"/>
          <w:szCs w:val="22"/>
          <w:u w:val="none"/>
        </w:rPr>
        <w:t xml:space="preserve">   </w:t>
      </w:r>
      <w:r w:rsidRPr="00E42993">
        <w:rPr>
          <w:rStyle w:val="Lienhypertexte"/>
          <w:rFonts w:ascii="Times New Roman" w:hAnsi="Times New Roman"/>
          <w:color w:val="auto"/>
          <w:sz w:val="22"/>
          <w:szCs w:val="22"/>
        </w:rPr>
        <w:t xml:space="preserve">avec précision sur la(les) consultance(s). </w:t>
      </w:r>
      <w:r w:rsidRPr="00E42993">
        <w:rPr>
          <w:rFonts w:ascii="Times New Roman" w:hAnsi="Times New Roman"/>
          <w:sz w:val="22"/>
          <w:szCs w:val="22"/>
        </w:rPr>
        <w:t xml:space="preserve"> </w:t>
      </w:r>
    </w:p>
    <w:p w14:paraId="4F470483" w14:textId="77777777" w:rsidR="00F907C3" w:rsidRPr="006C7E7D" w:rsidRDefault="00F907C3" w:rsidP="00F907C3">
      <w:pPr>
        <w:tabs>
          <w:tab w:val="num" w:pos="720"/>
        </w:tabs>
        <w:spacing w:before="240"/>
        <w:jc w:val="both"/>
        <w:rPr>
          <w:rFonts w:ascii="Times New Roman" w:hAnsi="Times New Roman"/>
          <w:sz w:val="22"/>
          <w:szCs w:val="22"/>
        </w:rPr>
      </w:pPr>
      <w:r w:rsidRPr="006C7E7D">
        <w:rPr>
          <w:rFonts w:ascii="Times New Roman" w:hAnsi="Times New Roman"/>
          <w:sz w:val="22"/>
          <w:szCs w:val="22"/>
        </w:rPr>
        <w:t xml:space="preserve">Il est demandé aux candidats de fournir les informations indiquant qu’ils sont qualifiés pour exécuter les services décrits, dans leurs dossiers de manifestation d’intérêt préparés et présentés </w:t>
      </w:r>
      <w:r>
        <w:rPr>
          <w:rFonts w:ascii="Times New Roman" w:hAnsi="Times New Roman"/>
          <w:sz w:val="22"/>
          <w:szCs w:val="22"/>
        </w:rPr>
        <w:t xml:space="preserve">séparément </w:t>
      </w:r>
      <w:r w:rsidRPr="006C7E7D">
        <w:rPr>
          <w:rFonts w:ascii="Times New Roman" w:hAnsi="Times New Roman"/>
          <w:sz w:val="22"/>
          <w:szCs w:val="22"/>
        </w:rPr>
        <w:t>comme suit :</w:t>
      </w:r>
    </w:p>
    <w:p w14:paraId="7284F246" w14:textId="77777777" w:rsidR="00F907C3" w:rsidRPr="006C7E7D" w:rsidRDefault="00F907C3" w:rsidP="00F907C3">
      <w:pPr>
        <w:numPr>
          <w:ilvl w:val="0"/>
          <w:numId w:val="1"/>
        </w:numPr>
        <w:tabs>
          <w:tab w:val="num" w:pos="720"/>
        </w:tabs>
        <w:spacing w:before="120"/>
        <w:ind w:left="714" w:hanging="357"/>
        <w:jc w:val="both"/>
        <w:rPr>
          <w:rFonts w:ascii="Times New Roman" w:hAnsi="Times New Roman"/>
          <w:sz w:val="22"/>
          <w:szCs w:val="22"/>
          <w:lang w:val="fr-CA"/>
        </w:rPr>
      </w:pPr>
      <w:r w:rsidRPr="006C7E7D">
        <w:rPr>
          <w:rFonts w:ascii="Times New Roman" w:hAnsi="Times New Roman"/>
          <w:b/>
          <w:sz w:val="22"/>
          <w:szCs w:val="22"/>
          <w:u w:val="single"/>
        </w:rPr>
        <w:t>Proposition technique :</w:t>
      </w:r>
      <w:r w:rsidRPr="006C7E7D">
        <w:rPr>
          <w:rFonts w:ascii="Times New Roman" w:hAnsi="Times New Roman"/>
          <w:sz w:val="22"/>
          <w:szCs w:val="22"/>
        </w:rPr>
        <w:t xml:space="preserve"> comprenant la lettre de motivation/note explicative, </w:t>
      </w:r>
      <w:r w:rsidRPr="006C7E7D">
        <w:rPr>
          <w:rFonts w:ascii="Times New Roman" w:hAnsi="Times New Roman"/>
          <w:sz w:val="22"/>
          <w:szCs w:val="22"/>
          <w:lang w:val="fr-CA"/>
        </w:rPr>
        <w:t xml:space="preserve">l’approche méthodologique détaillée, le plan du travail et chronogramme détaillés, le CV bien détaillé et actualisé </w:t>
      </w:r>
      <w:bookmarkStart w:id="3" w:name="_Hlk82781144"/>
      <w:r w:rsidRPr="006C7E7D">
        <w:rPr>
          <w:rFonts w:ascii="Times New Roman" w:hAnsi="Times New Roman"/>
          <w:sz w:val="22"/>
          <w:szCs w:val="22"/>
          <w:lang w:val="fr-CA"/>
        </w:rPr>
        <w:t xml:space="preserve">décrivant au mieux l’expertise du consultant avec les copies des diplômes et certificats professionnels, ainsi que les références similaires avec attestations de service rendus, satisfecit et/ou recommandations. </w:t>
      </w:r>
      <w:bookmarkEnd w:id="3"/>
    </w:p>
    <w:p w14:paraId="714F5BB7" w14:textId="77777777" w:rsidR="00F907C3" w:rsidRPr="006C7E7D" w:rsidRDefault="00F907C3" w:rsidP="00F907C3">
      <w:pPr>
        <w:numPr>
          <w:ilvl w:val="0"/>
          <w:numId w:val="1"/>
        </w:numPr>
        <w:tabs>
          <w:tab w:val="num" w:pos="720"/>
        </w:tabs>
        <w:spacing w:before="120"/>
        <w:ind w:left="714" w:hanging="357"/>
        <w:jc w:val="both"/>
        <w:rPr>
          <w:rFonts w:ascii="Times New Roman" w:hAnsi="Times New Roman"/>
          <w:sz w:val="22"/>
          <w:szCs w:val="22"/>
        </w:rPr>
      </w:pPr>
      <w:r w:rsidRPr="006C7E7D">
        <w:rPr>
          <w:rFonts w:ascii="Times New Roman" w:hAnsi="Times New Roman"/>
          <w:b/>
          <w:sz w:val="22"/>
          <w:szCs w:val="22"/>
          <w:u w:val="single"/>
          <w:lang w:val="fr-CA"/>
        </w:rPr>
        <w:t>Proposition</w:t>
      </w:r>
      <w:r w:rsidRPr="006C7E7D">
        <w:rPr>
          <w:rFonts w:ascii="Times New Roman" w:hAnsi="Times New Roman"/>
          <w:b/>
          <w:sz w:val="22"/>
          <w:szCs w:val="22"/>
          <w:u w:val="single"/>
        </w:rPr>
        <w:t xml:space="preserve"> financière </w:t>
      </w:r>
      <w:r w:rsidRPr="006C7E7D">
        <w:rPr>
          <w:rFonts w:ascii="Times New Roman" w:hAnsi="Times New Roman"/>
          <w:sz w:val="22"/>
          <w:szCs w:val="22"/>
        </w:rPr>
        <w:t xml:space="preserve">: incluant tous </w:t>
      </w:r>
      <w:bookmarkStart w:id="4" w:name="_Hlk82781605"/>
      <w:r w:rsidRPr="006C7E7D">
        <w:rPr>
          <w:rFonts w:ascii="Times New Roman" w:hAnsi="Times New Roman"/>
          <w:sz w:val="22"/>
          <w:szCs w:val="22"/>
        </w:rPr>
        <w:t xml:space="preserve">les coûts afférents à la mission comprenant les honoraires et </w:t>
      </w:r>
      <w:r w:rsidRPr="006C7E7D">
        <w:rPr>
          <w:rFonts w:ascii="Times New Roman" w:hAnsi="Times New Roman"/>
          <w:bCs w:val="0"/>
          <w:sz w:val="22"/>
          <w:szCs w:val="22"/>
        </w:rPr>
        <w:t>éventuellement les autres coûts remboursables nécessaires. A noter que la proposition fi</w:t>
      </w:r>
      <w:r w:rsidRPr="006C7E7D">
        <w:rPr>
          <w:rFonts w:ascii="Times New Roman" w:hAnsi="Times New Roman"/>
          <w:sz w:val="22"/>
          <w:szCs w:val="22"/>
        </w:rPr>
        <w:t xml:space="preserve">nancière doit être libellée hors TVA car le projet est exonéré de la TVA et que le Consultant sera assujetti à la fiscalité applicable en République de Guinée.  </w:t>
      </w:r>
    </w:p>
    <w:bookmarkEnd w:id="4"/>
    <w:p w14:paraId="66AAAD6B" w14:textId="77777777" w:rsidR="00B67223" w:rsidRPr="00B67223" w:rsidRDefault="00B67223" w:rsidP="00B67223">
      <w:pPr>
        <w:tabs>
          <w:tab w:val="num" w:pos="720"/>
        </w:tabs>
        <w:jc w:val="both"/>
        <w:rPr>
          <w:rFonts w:ascii="Times New Roman" w:hAnsi="Times New Roman"/>
          <w:bCs w:val="0"/>
          <w:sz w:val="12"/>
          <w:szCs w:val="12"/>
        </w:rPr>
      </w:pPr>
    </w:p>
    <w:p w14:paraId="6A73DFDC" w14:textId="1B3F4E47" w:rsidR="00B67223" w:rsidRPr="00B67223" w:rsidRDefault="00B67223" w:rsidP="00B67223">
      <w:pPr>
        <w:tabs>
          <w:tab w:val="num" w:pos="720"/>
        </w:tabs>
        <w:jc w:val="both"/>
        <w:rPr>
          <w:rFonts w:ascii="Times New Roman" w:hAnsi="Times New Roman"/>
          <w:bCs w:val="0"/>
          <w:sz w:val="22"/>
          <w:szCs w:val="22"/>
        </w:rPr>
      </w:pPr>
      <w:r w:rsidRPr="00B67223">
        <w:rPr>
          <w:rFonts w:ascii="Times New Roman" w:hAnsi="Times New Roman"/>
          <w:bCs w:val="0"/>
          <w:sz w:val="22"/>
          <w:szCs w:val="22"/>
        </w:rPr>
        <w:t xml:space="preserve">Le candidat sera sélectionné </w:t>
      </w:r>
      <w:bookmarkStart w:id="5" w:name="_Hlk69233516"/>
      <w:r w:rsidRPr="00B67223">
        <w:rPr>
          <w:rFonts w:ascii="Times New Roman" w:hAnsi="Times New Roman"/>
          <w:bCs w:val="0"/>
          <w:sz w:val="22"/>
          <w:szCs w:val="22"/>
        </w:rPr>
        <w:t xml:space="preserve">basé sur la qualification du consultant (voir paragraphe 7 des </w:t>
      </w:r>
      <w:proofErr w:type="spellStart"/>
      <w:r w:rsidRPr="00B67223">
        <w:rPr>
          <w:rFonts w:ascii="Times New Roman" w:hAnsi="Times New Roman"/>
          <w:bCs w:val="0"/>
          <w:sz w:val="22"/>
          <w:szCs w:val="22"/>
        </w:rPr>
        <w:t>TdRs</w:t>
      </w:r>
      <w:proofErr w:type="spellEnd"/>
      <w:r w:rsidRPr="00B67223">
        <w:rPr>
          <w:rFonts w:ascii="Times New Roman" w:hAnsi="Times New Roman"/>
          <w:bCs w:val="0"/>
          <w:sz w:val="22"/>
          <w:szCs w:val="22"/>
        </w:rPr>
        <w:t xml:space="preserve">).  </w:t>
      </w:r>
      <w:bookmarkEnd w:id="5"/>
    </w:p>
    <w:p w14:paraId="6AD1C087" w14:textId="77777777" w:rsidR="00F907C3" w:rsidRPr="00B67223" w:rsidRDefault="00F907C3" w:rsidP="00F907C3">
      <w:pPr>
        <w:tabs>
          <w:tab w:val="num" w:pos="720"/>
        </w:tabs>
        <w:jc w:val="both"/>
        <w:rPr>
          <w:rFonts w:ascii="Times New Roman" w:hAnsi="Times New Roman"/>
          <w:bCs w:val="0"/>
          <w:sz w:val="12"/>
          <w:szCs w:val="12"/>
        </w:rPr>
      </w:pPr>
    </w:p>
    <w:p w14:paraId="0BD3E166" w14:textId="77777777" w:rsidR="00F907C3" w:rsidRDefault="00F907C3" w:rsidP="00F907C3">
      <w:pPr>
        <w:tabs>
          <w:tab w:val="num" w:pos="720"/>
        </w:tabs>
        <w:jc w:val="both"/>
        <w:rPr>
          <w:rFonts w:ascii="Times New Roman" w:hAnsi="Times New Roman"/>
          <w:b/>
          <w:bCs w:val="0"/>
          <w:sz w:val="22"/>
          <w:szCs w:val="22"/>
        </w:rPr>
      </w:pPr>
      <w:r w:rsidRPr="006C7E7D">
        <w:rPr>
          <w:rFonts w:ascii="Times New Roman" w:hAnsi="Times New Roman"/>
          <w:bCs w:val="0"/>
          <w:sz w:val="22"/>
          <w:szCs w:val="22"/>
        </w:rPr>
        <w:t xml:space="preserve">Les propositions établies en langue française en deux exemplaires dont un (1) original et une (1) copie doivent être </w:t>
      </w:r>
      <w:bookmarkStart w:id="6" w:name="_Hlk529875144"/>
      <w:r w:rsidRPr="006C7E7D">
        <w:rPr>
          <w:rFonts w:ascii="Times New Roman" w:hAnsi="Times New Roman"/>
          <w:bCs w:val="0"/>
          <w:sz w:val="22"/>
          <w:szCs w:val="22"/>
        </w:rPr>
        <w:t xml:space="preserve">déposées </w:t>
      </w:r>
      <w:r w:rsidRPr="006C7E7D">
        <w:rPr>
          <w:rFonts w:ascii="Times New Roman" w:hAnsi="Times New Roman"/>
          <w:b/>
          <w:bCs w:val="0"/>
          <w:iCs/>
          <w:sz w:val="22"/>
          <w:szCs w:val="22"/>
        </w:rPr>
        <w:t>auprès du Service de Passation des marchés de l’UAGCP sis au 3</w:t>
      </w:r>
      <w:r w:rsidRPr="006C7E7D">
        <w:rPr>
          <w:rFonts w:ascii="Times New Roman" w:hAnsi="Times New Roman"/>
          <w:b/>
          <w:bCs w:val="0"/>
          <w:iCs/>
          <w:sz w:val="22"/>
          <w:szCs w:val="22"/>
          <w:vertAlign w:val="superscript"/>
        </w:rPr>
        <w:t>ème</w:t>
      </w:r>
      <w:r w:rsidRPr="006C7E7D">
        <w:rPr>
          <w:rFonts w:ascii="Times New Roman" w:hAnsi="Times New Roman"/>
          <w:b/>
          <w:bCs w:val="0"/>
          <w:iCs/>
          <w:sz w:val="22"/>
          <w:szCs w:val="22"/>
        </w:rPr>
        <w:t xml:space="preserve"> étage de l’immeuble Palm Résidence Camayenne, corniche nord de Dixinn, à côté de la clinique Ambroise Paré</w:t>
      </w:r>
      <w:r w:rsidRPr="006C7E7D">
        <w:rPr>
          <w:rFonts w:ascii="Times New Roman" w:hAnsi="Times New Roman"/>
          <w:bCs w:val="0"/>
          <w:sz w:val="22"/>
          <w:szCs w:val="22"/>
        </w:rPr>
        <w:t xml:space="preserve">, au plus tard le </w:t>
      </w:r>
      <w:r>
        <w:rPr>
          <w:rFonts w:ascii="Times New Roman" w:hAnsi="Times New Roman"/>
          <w:b/>
          <w:color w:val="FF0000"/>
          <w:u w:val="single"/>
        </w:rPr>
        <w:t>Mardi</w:t>
      </w:r>
      <w:r w:rsidRPr="005A1845">
        <w:rPr>
          <w:rFonts w:ascii="Times New Roman" w:hAnsi="Times New Roman"/>
          <w:b/>
          <w:color w:val="FF0000"/>
          <w:u w:val="single"/>
        </w:rPr>
        <w:t xml:space="preserve"> </w:t>
      </w:r>
      <w:r>
        <w:rPr>
          <w:rFonts w:ascii="Times New Roman" w:hAnsi="Times New Roman"/>
          <w:b/>
          <w:color w:val="FF0000"/>
          <w:u w:val="single"/>
        </w:rPr>
        <w:t>14</w:t>
      </w:r>
      <w:r w:rsidRPr="005A1845">
        <w:rPr>
          <w:rFonts w:ascii="Times New Roman" w:hAnsi="Times New Roman"/>
          <w:b/>
          <w:color w:val="FF0000"/>
          <w:u w:val="single"/>
        </w:rPr>
        <w:t>/</w:t>
      </w:r>
      <w:r>
        <w:rPr>
          <w:rFonts w:ascii="Times New Roman" w:hAnsi="Times New Roman"/>
          <w:b/>
          <w:color w:val="FF0000"/>
          <w:u w:val="single"/>
        </w:rPr>
        <w:t>11</w:t>
      </w:r>
      <w:r w:rsidRPr="005A1845">
        <w:rPr>
          <w:rFonts w:ascii="Times New Roman" w:hAnsi="Times New Roman"/>
          <w:b/>
          <w:color w:val="FF0000"/>
          <w:u w:val="single"/>
        </w:rPr>
        <w:t>/2023</w:t>
      </w:r>
      <w:r w:rsidRPr="005A1845">
        <w:rPr>
          <w:rFonts w:ascii="Times New Roman" w:hAnsi="Times New Roman"/>
          <w:b/>
          <w:bCs w:val="0"/>
          <w:color w:val="FF0000"/>
        </w:rPr>
        <w:t xml:space="preserve"> </w:t>
      </w:r>
      <w:r w:rsidRPr="006C7E7D">
        <w:rPr>
          <w:rFonts w:ascii="Times New Roman" w:hAnsi="Times New Roman"/>
          <w:b/>
          <w:bCs w:val="0"/>
          <w:sz w:val="22"/>
          <w:szCs w:val="22"/>
        </w:rPr>
        <w:t>à 11H00 précises, heure locale</w:t>
      </w:r>
      <w:bookmarkEnd w:id="6"/>
      <w:r w:rsidRPr="006C7E7D">
        <w:rPr>
          <w:rFonts w:ascii="Times New Roman" w:hAnsi="Times New Roman"/>
          <w:b/>
          <w:bCs w:val="0"/>
          <w:sz w:val="22"/>
          <w:szCs w:val="22"/>
        </w:rPr>
        <w:t>.</w:t>
      </w:r>
    </w:p>
    <w:p w14:paraId="5A7ABE53" w14:textId="77777777" w:rsidR="00F907C3" w:rsidRPr="006C7E7D" w:rsidRDefault="00F907C3" w:rsidP="00F907C3">
      <w:pPr>
        <w:tabs>
          <w:tab w:val="num" w:pos="720"/>
        </w:tabs>
        <w:jc w:val="both"/>
        <w:rPr>
          <w:rFonts w:ascii="Times New Roman" w:hAnsi="Times New Roman"/>
          <w:b/>
          <w:bCs w:val="0"/>
          <w:sz w:val="22"/>
          <w:szCs w:val="22"/>
        </w:rPr>
      </w:pPr>
    </w:p>
    <w:p w14:paraId="31E45FCD" w14:textId="77777777" w:rsidR="00F907C3" w:rsidRPr="008B3393" w:rsidRDefault="00F907C3" w:rsidP="00F907C3">
      <w:pPr>
        <w:tabs>
          <w:tab w:val="num" w:pos="720"/>
        </w:tabs>
        <w:jc w:val="both"/>
        <w:rPr>
          <w:rFonts w:ascii="Times New Roman" w:hAnsi="Times New Roman"/>
          <w:sz w:val="22"/>
          <w:szCs w:val="22"/>
        </w:rPr>
      </w:pPr>
      <w:r w:rsidRPr="008B3393">
        <w:rPr>
          <w:rFonts w:ascii="Times New Roman" w:hAnsi="Times New Roman"/>
          <w:sz w:val="22"/>
          <w:szCs w:val="22"/>
        </w:rPr>
        <w:t xml:space="preserve">Pour toutes informations techniques, veuillez adresser un courriel à l’adresse : </w:t>
      </w:r>
      <w:hyperlink r:id="rId10" w:history="1">
        <w:r w:rsidRPr="006C7E7D">
          <w:rPr>
            <w:rStyle w:val="Lienhypertexte"/>
            <w:rFonts w:ascii="Times New Roman" w:hAnsi="Times New Roman"/>
            <w:sz w:val="22"/>
            <w:szCs w:val="22"/>
          </w:rPr>
          <w:t>tenders.uagcp@gmail.com</w:t>
        </w:r>
      </w:hyperlink>
      <w:r w:rsidRPr="008B3393">
        <w:rPr>
          <w:rFonts w:ascii="Times New Roman" w:hAnsi="Times New Roman"/>
          <w:sz w:val="22"/>
          <w:szCs w:val="22"/>
        </w:rPr>
        <w:t> </w:t>
      </w:r>
      <w:r>
        <w:rPr>
          <w:rFonts w:ascii="Times New Roman" w:hAnsi="Times New Roman"/>
          <w:sz w:val="22"/>
          <w:szCs w:val="22"/>
        </w:rPr>
        <w:t>du lundi au vendredi</w:t>
      </w:r>
      <w:r w:rsidRPr="008B3393">
        <w:rPr>
          <w:rFonts w:ascii="Times New Roman" w:hAnsi="Times New Roman"/>
          <w:sz w:val="22"/>
          <w:szCs w:val="22"/>
        </w:rPr>
        <w:t xml:space="preserve"> de 9h à 17h</w:t>
      </w:r>
      <w:r>
        <w:rPr>
          <w:rFonts w:ascii="Times New Roman" w:hAnsi="Times New Roman"/>
          <w:sz w:val="22"/>
          <w:szCs w:val="22"/>
        </w:rPr>
        <w:t>.</w:t>
      </w:r>
    </w:p>
    <w:p w14:paraId="213C19A9" w14:textId="77777777" w:rsidR="00F907C3" w:rsidRPr="006C7E7D" w:rsidRDefault="00F907C3" w:rsidP="00F907C3">
      <w:pPr>
        <w:tabs>
          <w:tab w:val="num" w:pos="720"/>
        </w:tabs>
        <w:jc w:val="both"/>
        <w:rPr>
          <w:rFonts w:ascii="Times New Roman" w:hAnsi="Times New Roman"/>
          <w:b/>
          <w:bCs w:val="0"/>
          <w:sz w:val="22"/>
          <w:szCs w:val="22"/>
        </w:rPr>
      </w:pPr>
    </w:p>
    <w:p w14:paraId="19B1283C" w14:textId="77777777" w:rsidR="00F907C3" w:rsidRPr="006C7E7D" w:rsidRDefault="00F907C3" w:rsidP="00F907C3">
      <w:pPr>
        <w:pStyle w:val="Header3-Paragraph"/>
        <w:tabs>
          <w:tab w:val="clear" w:pos="504"/>
          <w:tab w:val="left" w:pos="0"/>
        </w:tabs>
        <w:overflowPunct/>
        <w:autoSpaceDE/>
        <w:autoSpaceDN/>
        <w:adjustRightInd/>
        <w:spacing w:after="0"/>
        <w:ind w:left="0" w:firstLine="0"/>
        <w:textAlignment w:val="auto"/>
        <w:rPr>
          <w:rFonts w:cs="Times New Roman"/>
          <w:b/>
          <w:bCs/>
          <w:color w:val="FF0000"/>
          <w:sz w:val="22"/>
          <w:szCs w:val="22"/>
          <w:lang w:val="fr-FR"/>
        </w:rPr>
      </w:pPr>
      <w:r w:rsidRPr="006C7E7D">
        <w:rPr>
          <w:rFonts w:cs="Times New Roman"/>
          <w:b/>
          <w:bCs/>
          <w:color w:val="FF0000"/>
          <w:sz w:val="22"/>
          <w:szCs w:val="22"/>
          <w:lang w:val="fr-FR"/>
        </w:rPr>
        <w:t>NB : La proposition financière doit être présentée dans une enveloppe séparée de la proposition technique et portant la mention proposition financière</w:t>
      </w:r>
      <w:r>
        <w:rPr>
          <w:rFonts w:cs="Times New Roman"/>
          <w:b/>
          <w:bCs/>
          <w:color w:val="FF0000"/>
          <w:sz w:val="22"/>
          <w:szCs w:val="22"/>
          <w:lang w:val="fr-FR"/>
        </w:rPr>
        <w:t>, sous peine de rejet de l’offre</w:t>
      </w:r>
      <w:r w:rsidRPr="006C7E7D">
        <w:rPr>
          <w:rFonts w:cs="Times New Roman"/>
          <w:b/>
          <w:bCs/>
          <w:color w:val="FF0000"/>
          <w:sz w:val="22"/>
          <w:szCs w:val="22"/>
          <w:lang w:val="fr-FR"/>
        </w:rPr>
        <w:t>.</w:t>
      </w:r>
    </w:p>
    <w:p w14:paraId="3C615658" w14:textId="77777777" w:rsidR="00F907C3" w:rsidRPr="006C7E7D" w:rsidRDefault="00F907C3" w:rsidP="00F907C3">
      <w:pPr>
        <w:tabs>
          <w:tab w:val="num" w:pos="720"/>
        </w:tabs>
        <w:spacing w:before="120"/>
        <w:jc w:val="both"/>
        <w:rPr>
          <w:rFonts w:ascii="Times New Roman" w:eastAsia="Calibri" w:hAnsi="Times New Roman"/>
          <w:sz w:val="22"/>
          <w:szCs w:val="22"/>
        </w:rPr>
      </w:pPr>
      <w:r w:rsidRPr="006C7E7D">
        <w:rPr>
          <w:rFonts w:ascii="Times New Roman" w:hAnsi="Times New Roman"/>
          <w:bCs w:val="0"/>
          <w:sz w:val="22"/>
          <w:szCs w:val="22"/>
        </w:rPr>
        <w:t xml:space="preserve">L’ouverture (à huit-clos) des propositions techniques aura lieu le même jour dans la salle de réunions de l’UAGCP à partir de </w:t>
      </w:r>
      <w:r w:rsidRPr="006C7E7D">
        <w:rPr>
          <w:rFonts w:ascii="Times New Roman" w:hAnsi="Times New Roman"/>
          <w:b/>
          <w:bCs w:val="0"/>
          <w:sz w:val="22"/>
          <w:szCs w:val="22"/>
        </w:rPr>
        <w:t>12h00</w:t>
      </w:r>
      <w:r w:rsidRPr="006C7E7D">
        <w:rPr>
          <w:rFonts w:ascii="Times New Roman" w:eastAsia="Calibri" w:hAnsi="Times New Roman"/>
          <w:sz w:val="22"/>
          <w:szCs w:val="22"/>
        </w:rPr>
        <w:t>.</w:t>
      </w:r>
    </w:p>
    <w:p w14:paraId="4165B06A" w14:textId="77777777" w:rsidR="00F907C3" w:rsidRPr="006C7E7D" w:rsidRDefault="00F907C3" w:rsidP="00F907C3">
      <w:pPr>
        <w:tabs>
          <w:tab w:val="num" w:pos="720"/>
        </w:tabs>
        <w:jc w:val="both"/>
        <w:rPr>
          <w:rFonts w:ascii="Times New Roman" w:hAnsi="Times New Roman"/>
          <w:bCs w:val="0"/>
          <w:sz w:val="8"/>
        </w:rPr>
      </w:pPr>
    </w:p>
    <w:p w14:paraId="752D98B6" w14:textId="77777777" w:rsidR="00F907C3" w:rsidRPr="006C7E7D" w:rsidRDefault="00F907C3" w:rsidP="00F907C3">
      <w:pPr>
        <w:tabs>
          <w:tab w:val="num" w:pos="720"/>
        </w:tabs>
        <w:spacing w:line="360" w:lineRule="auto"/>
        <w:ind w:left="5103"/>
        <w:jc w:val="center"/>
        <w:rPr>
          <w:rFonts w:ascii="Times New Roman" w:hAnsi="Times New Roman"/>
          <w:bCs w:val="0"/>
        </w:rPr>
      </w:pPr>
      <w:r w:rsidRPr="006C7E7D">
        <w:rPr>
          <w:rFonts w:ascii="Times New Roman" w:hAnsi="Times New Roman"/>
          <w:bCs w:val="0"/>
        </w:rPr>
        <w:t xml:space="preserve">Fait à Conakry, le </w:t>
      </w:r>
      <w:r>
        <w:rPr>
          <w:rFonts w:ascii="Times New Roman" w:hAnsi="Times New Roman"/>
          <w:bCs w:val="0"/>
        </w:rPr>
        <w:t>26</w:t>
      </w:r>
      <w:r w:rsidRPr="006C7E7D">
        <w:rPr>
          <w:rFonts w:ascii="Times New Roman" w:hAnsi="Times New Roman"/>
          <w:bCs w:val="0"/>
        </w:rPr>
        <w:t>/</w:t>
      </w:r>
      <w:r>
        <w:rPr>
          <w:rFonts w:ascii="Times New Roman" w:hAnsi="Times New Roman"/>
          <w:bCs w:val="0"/>
        </w:rPr>
        <w:t>10</w:t>
      </w:r>
      <w:r w:rsidRPr="006C7E7D">
        <w:rPr>
          <w:rFonts w:ascii="Times New Roman" w:hAnsi="Times New Roman"/>
          <w:bCs w:val="0"/>
        </w:rPr>
        <w:t>/2023</w:t>
      </w:r>
    </w:p>
    <w:p w14:paraId="714885E2" w14:textId="6FCA5CD4" w:rsidR="00F907C3" w:rsidRDefault="00F907C3" w:rsidP="00F907C3">
      <w:pPr>
        <w:tabs>
          <w:tab w:val="num" w:pos="720"/>
        </w:tabs>
        <w:spacing w:line="360" w:lineRule="auto"/>
        <w:ind w:left="5103"/>
        <w:jc w:val="center"/>
        <w:rPr>
          <w:rFonts w:ascii="Times New Roman" w:hAnsi="Times New Roman"/>
          <w:bCs w:val="0"/>
        </w:rPr>
      </w:pPr>
      <w:r w:rsidRPr="006C7E7D">
        <w:rPr>
          <w:rFonts w:ascii="Times New Roman" w:hAnsi="Times New Roman"/>
          <w:bCs w:val="0"/>
        </w:rPr>
        <w:t>Pour l’Autorité contractante,</w:t>
      </w:r>
    </w:p>
    <w:p w14:paraId="4158265B" w14:textId="6DC435EA" w:rsidR="00B67223" w:rsidRDefault="00B67223" w:rsidP="00F907C3">
      <w:pPr>
        <w:tabs>
          <w:tab w:val="num" w:pos="720"/>
        </w:tabs>
        <w:spacing w:line="360" w:lineRule="auto"/>
        <w:ind w:left="5103"/>
        <w:jc w:val="center"/>
        <w:rPr>
          <w:rFonts w:ascii="Times New Roman" w:hAnsi="Times New Roman"/>
          <w:bCs w:val="0"/>
        </w:rPr>
      </w:pPr>
    </w:p>
    <w:p w14:paraId="1B554F71" w14:textId="32D5583A" w:rsidR="00B67223" w:rsidRDefault="00B67223" w:rsidP="00F907C3">
      <w:pPr>
        <w:tabs>
          <w:tab w:val="num" w:pos="720"/>
        </w:tabs>
        <w:spacing w:line="360" w:lineRule="auto"/>
        <w:ind w:left="5103"/>
        <w:jc w:val="center"/>
        <w:rPr>
          <w:rFonts w:ascii="Times New Roman" w:hAnsi="Times New Roman"/>
          <w:bCs w:val="0"/>
        </w:rPr>
      </w:pPr>
    </w:p>
    <w:p w14:paraId="3DA6690F" w14:textId="77777777" w:rsidR="00B67223" w:rsidRPr="006C7E7D" w:rsidRDefault="00B67223" w:rsidP="00F907C3">
      <w:pPr>
        <w:tabs>
          <w:tab w:val="num" w:pos="720"/>
        </w:tabs>
        <w:spacing w:line="360" w:lineRule="auto"/>
        <w:ind w:left="5103"/>
        <w:jc w:val="center"/>
        <w:rPr>
          <w:rFonts w:ascii="Times New Roman" w:hAnsi="Times New Roman"/>
          <w:bCs w:val="0"/>
        </w:rPr>
      </w:pPr>
    </w:p>
    <w:p w14:paraId="06453467" w14:textId="77777777" w:rsidR="00F9768A" w:rsidRDefault="00F907C3" w:rsidP="00941C84">
      <w:pPr>
        <w:tabs>
          <w:tab w:val="num" w:pos="0"/>
        </w:tabs>
        <w:spacing w:line="360" w:lineRule="auto"/>
        <w:ind w:left="5103"/>
        <w:jc w:val="center"/>
      </w:pPr>
      <w:r w:rsidRPr="006C7E7D">
        <w:rPr>
          <w:rFonts w:ascii="Times New Roman" w:hAnsi="Times New Roman"/>
          <w:b/>
          <w:bCs w:val="0"/>
          <w:u w:val="single"/>
        </w:rPr>
        <w:t>Dr Timothée GUILAVOGUI</w:t>
      </w:r>
    </w:p>
    <w:sectPr w:rsidR="00F9768A" w:rsidSect="00493BE2">
      <w:headerReference w:type="even" r:id="rId11"/>
      <w:headerReference w:type="first" r:id="rId12"/>
      <w:pgSz w:w="12240" w:h="15840" w:code="1"/>
      <w:pgMar w:top="1440" w:right="1440" w:bottom="1135"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5605" w14:textId="77777777" w:rsidR="00334B88" w:rsidRDefault="00334B88" w:rsidP="000C5680">
      <w:r>
        <w:separator/>
      </w:r>
    </w:p>
  </w:endnote>
  <w:endnote w:type="continuationSeparator" w:id="0">
    <w:p w14:paraId="3AA09E8C" w14:textId="77777777" w:rsidR="00334B88" w:rsidRDefault="00334B88" w:rsidP="000C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0328" w14:textId="77777777" w:rsidR="00334B88" w:rsidRDefault="00334B88" w:rsidP="000C5680">
      <w:r>
        <w:separator/>
      </w:r>
    </w:p>
  </w:footnote>
  <w:footnote w:type="continuationSeparator" w:id="0">
    <w:p w14:paraId="05D1EA9D" w14:textId="77777777" w:rsidR="00334B88" w:rsidRDefault="00334B88" w:rsidP="000C5680">
      <w:r>
        <w:continuationSeparator/>
      </w:r>
    </w:p>
  </w:footnote>
  <w:footnote w:id="1">
    <w:p w14:paraId="381098FA" w14:textId="77777777" w:rsidR="000C5680" w:rsidRPr="00F80835" w:rsidRDefault="000C5680" w:rsidP="000C5680">
      <w:pPr>
        <w:pStyle w:val="Notedebasdepage"/>
        <w:rPr>
          <w:rFonts w:ascii="Georgia" w:hAnsi="Georgia"/>
        </w:rPr>
      </w:pPr>
      <w:r w:rsidRPr="00F80835">
        <w:rPr>
          <w:rStyle w:val="Appelnotedebasdep"/>
          <w:rFonts w:ascii="Georgia" w:hAnsi="Georgia"/>
        </w:rPr>
        <w:footnoteRef/>
      </w:r>
      <w:r w:rsidRPr="00F80835">
        <w:rPr>
          <w:rFonts w:ascii="Georgia" w:hAnsi="Georgia"/>
        </w:rPr>
        <w:t xml:space="preserve"> Enquête Démographique et de Santé (EDSG V) 2018.</w:t>
      </w:r>
    </w:p>
  </w:footnote>
  <w:footnote w:id="2">
    <w:p w14:paraId="6FC98403" w14:textId="77777777" w:rsidR="000C5680" w:rsidRPr="00F80835" w:rsidRDefault="000C5680" w:rsidP="000C5680">
      <w:pPr>
        <w:pStyle w:val="Notedebasdepage"/>
        <w:rPr>
          <w:rFonts w:ascii="Georgia" w:hAnsi="Georgia"/>
        </w:rPr>
      </w:pPr>
      <w:r w:rsidRPr="00F80835">
        <w:rPr>
          <w:rStyle w:val="Appelnotedebasdep"/>
          <w:rFonts w:ascii="Georgia" w:hAnsi="Georgia"/>
        </w:rPr>
        <w:footnoteRef/>
      </w:r>
      <w:r w:rsidRPr="00F80835">
        <w:rPr>
          <w:rFonts w:ascii="Georgia" w:hAnsi="Georgia"/>
        </w:rPr>
        <w:t xml:space="preserve"> Enquête Nationale de Surveillance Sentinelle (ENSS) 20</w:t>
      </w:r>
      <w:r>
        <w:rPr>
          <w:rFonts w:ascii="Georgia" w:hAnsi="Georgia"/>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C778" w14:textId="77777777" w:rsidR="00707964" w:rsidRDefault="00D852C5">
    <w:pPr>
      <w:pStyle w:val="En-tte"/>
      <w:pBdr>
        <w:bottom w:val="single" w:sz="4" w:space="1" w:color="auto"/>
      </w:pBdr>
      <w:tabs>
        <w:tab w:val="clear" w:pos="8640"/>
        <w:tab w:val="right" w:pos="936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48</w:t>
    </w:r>
    <w:r>
      <w:rPr>
        <w:rStyle w:val="Numrodepage"/>
        <w:sz w:val="20"/>
      </w:rPr>
      <w:fldChar w:fldCharType="end"/>
    </w:r>
    <w:r>
      <w:rPr>
        <w:rStyle w:val="Numrodepage"/>
        <w:sz w:val="20"/>
      </w:rPr>
      <w:tab/>
    </w:r>
    <w:r>
      <w:rPr>
        <w:rStyle w:val="Numrodepage"/>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754F" w14:textId="77777777" w:rsidR="00707964" w:rsidRPr="00C47950" w:rsidRDefault="00334B88" w:rsidP="00C479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890"/>
    <w:multiLevelType w:val="hybridMultilevel"/>
    <w:tmpl w:val="E33E6A04"/>
    <w:lvl w:ilvl="0" w:tplc="2F1A60F8">
      <w:start w:val="1"/>
      <w:numFmt w:val="bullet"/>
      <w:lvlText w:val="-"/>
      <w:lvlJc w:val="left"/>
      <w:pPr>
        <w:ind w:left="1146" w:hanging="360"/>
      </w:pPr>
      <w:rPr>
        <w:rFonts w:ascii="Courier New" w:hAnsi="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1982545D"/>
    <w:multiLevelType w:val="hybridMultilevel"/>
    <w:tmpl w:val="5C082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9D0AFD"/>
    <w:multiLevelType w:val="hybridMultilevel"/>
    <w:tmpl w:val="8B9E8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363436"/>
    <w:multiLevelType w:val="hybridMultilevel"/>
    <w:tmpl w:val="7BBE93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631AC5"/>
    <w:multiLevelType w:val="hybridMultilevel"/>
    <w:tmpl w:val="F796B8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FCD34BF"/>
    <w:multiLevelType w:val="hybridMultilevel"/>
    <w:tmpl w:val="65EA364A"/>
    <w:lvl w:ilvl="0" w:tplc="2000000B">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6" w15:restartNumberingAfterBreak="0">
    <w:nsid w:val="7FD5504A"/>
    <w:multiLevelType w:val="hybridMultilevel"/>
    <w:tmpl w:val="BD50320A"/>
    <w:lvl w:ilvl="0" w:tplc="040C0001">
      <w:start w:val="1"/>
      <w:numFmt w:val="bullet"/>
      <w:lvlText w:val=""/>
      <w:lvlJc w:val="left"/>
      <w:pPr>
        <w:ind w:left="720" w:hanging="360"/>
      </w:pPr>
      <w:rPr>
        <w:rFonts w:ascii="Symbol" w:hAnsi="Symbol" w:hint="default"/>
      </w:rPr>
    </w:lvl>
    <w:lvl w:ilvl="1" w:tplc="C7326EC2">
      <w:numFmt w:val="bullet"/>
      <w:lvlText w:val=""/>
      <w:lvlJc w:val="left"/>
      <w:pPr>
        <w:ind w:left="1440" w:hanging="360"/>
      </w:pPr>
      <w:rPr>
        <w:rFonts w:ascii="Symbol" w:eastAsia="Calibri"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C3"/>
    <w:rsid w:val="000C5680"/>
    <w:rsid w:val="00334B88"/>
    <w:rsid w:val="004F6966"/>
    <w:rsid w:val="00941C84"/>
    <w:rsid w:val="00AB45DE"/>
    <w:rsid w:val="00B67223"/>
    <w:rsid w:val="00D238C8"/>
    <w:rsid w:val="00D852C5"/>
    <w:rsid w:val="00D8765A"/>
    <w:rsid w:val="00F907C3"/>
    <w:rsid w:val="00F9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DCCC"/>
  <w15:chartTrackingRefBased/>
  <w15:docId w15:val="{958AC795-D6A9-40C8-A02B-DD2EE9F0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C3"/>
    <w:pPr>
      <w:spacing w:after="0" w:line="240" w:lineRule="auto"/>
    </w:pPr>
    <w:rPr>
      <w:rFonts w:ascii="Arial Narrow" w:eastAsia="Times New Roman" w:hAnsi="Arial Narrow" w:cs="Times New Roman"/>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907C3"/>
    <w:pPr>
      <w:tabs>
        <w:tab w:val="center" w:pos="4320"/>
        <w:tab w:val="right" w:pos="8640"/>
      </w:tabs>
    </w:pPr>
    <w:rPr>
      <w:rFonts w:ascii="Times New Roman" w:hAnsi="Times New Roman"/>
      <w:bCs w:val="0"/>
    </w:rPr>
  </w:style>
  <w:style w:type="character" w:customStyle="1" w:styleId="En-tteCar">
    <w:name w:val="En-tête Car"/>
    <w:basedOn w:val="Policepardfaut"/>
    <w:link w:val="En-tte"/>
    <w:rsid w:val="00F907C3"/>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F907C3"/>
    <w:rPr>
      <w:color w:val="0563C1" w:themeColor="hyperlink"/>
      <w:u w:val="single"/>
    </w:rPr>
  </w:style>
  <w:style w:type="paragraph" w:styleId="Paragraphedeliste">
    <w:name w:val="List Paragraph"/>
    <w:aliases w:val="References,Bullets,List Paragraph (numbered (a)),Numbered List Paragraph,Grille claire - Accent 31,Normal bullet 2,Paragraph,Paragraphe de liste (sdt),List Paragraph1,List Paragraph2,Bullet List,FooterText,Colorful List Accent 1,????"/>
    <w:basedOn w:val="Normal"/>
    <w:link w:val="ParagraphedelisteCar"/>
    <w:qFormat/>
    <w:rsid w:val="00F907C3"/>
    <w:pPr>
      <w:ind w:left="720"/>
      <w:contextualSpacing/>
    </w:pPr>
  </w:style>
  <w:style w:type="paragraph" w:styleId="Commentaire">
    <w:name w:val="annotation text"/>
    <w:basedOn w:val="Normal"/>
    <w:link w:val="CommentaireCar"/>
    <w:uiPriority w:val="99"/>
    <w:rsid w:val="00F907C3"/>
    <w:rPr>
      <w:rFonts w:ascii="Times New Roman" w:hAnsi="Times New Roman"/>
      <w:bCs w:val="0"/>
      <w:sz w:val="20"/>
      <w:szCs w:val="20"/>
      <w:lang w:val="x-none" w:eastAsia="en-US"/>
    </w:rPr>
  </w:style>
  <w:style w:type="character" w:customStyle="1" w:styleId="CommentaireCar">
    <w:name w:val="Commentaire Car"/>
    <w:basedOn w:val="Policepardfaut"/>
    <w:link w:val="Commentaire"/>
    <w:uiPriority w:val="99"/>
    <w:rsid w:val="00F907C3"/>
    <w:rPr>
      <w:rFonts w:ascii="Times New Roman" w:eastAsia="Times New Roman" w:hAnsi="Times New Roman" w:cs="Times New Roman"/>
      <w:sz w:val="20"/>
      <w:szCs w:val="20"/>
      <w:lang w:val="x-none"/>
    </w:rPr>
  </w:style>
  <w:style w:type="paragraph" w:customStyle="1" w:styleId="Header3-Paragraph">
    <w:name w:val="Header 3 - Paragraph"/>
    <w:basedOn w:val="Normal"/>
    <w:rsid w:val="00F907C3"/>
    <w:pPr>
      <w:tabs>
        <w:tab w:val="left" w:pos="504"/>
      </w:tabs>
      <w:overflowPunct w:val="0"/>
      <w:autoSpaceDE w:val="0"/>
      <w:autoSpaceDN w:val="0"/>
      <w:adjustRightInd w:val="0"/>
      <w:spacing w:after="200"/>
      <w:ind w:left="504" w:hanging="504"/>
      <w:jc w:val="both"/>
      <w:textAlignment w:val="baseline"/>
    </w:pPr>
    <w:rPr>
      <w:rFonts w:ascii="Times New Roman" w:hAnsi="Times New Roman" w:cs="Arial"/>
      <w:bCs w:val="0"/>
      <w:lang w:val="en-US"/>
    </w:rPr>
  </w:style>
  <w:style w:type="character" w:customStyle="1" w:styleId="ParagraphedelisteCar">
    <w:name w:val="Paragraphe de liste Car"/>
    <w:aliases w:val="References Car,Bullets Car,List Paragraph (numbered (a)) Car,Numbered List Paragraph Car,Grille claire - Accent 31 Car,Normal bullet 2 Car,Paragraph Car,Paragraphe de liste (sdt) Car,List Paragraph1 Car,List Paragraph2 Car"/>
    <w:link w:val="Paragraphedeliste"/>
    <w:qFormat/>
    <w:locked/>
    <w:rsid w:val="00F907C3"/>
    <w:rPr>
      <w:rFonts w:ascii="Arial Narrow" w:eastAsia="Times New Roman" w:hAnsi="Arial Narrow" w:cs="Times New Roman"/>
      <w:bCs/>
      <w:sz w:val="24"/>
      <w:szCs w:val="24"/>
      <w:lang w:val="fr-FR" w:eastAsia="fr-FR"/>
    </w:rPr>
  </w:style>
  <w:style w:type="character" w:styleId="Numrodepage">
    <w:name w:val="page number"/>
    <w:basedOn w:val="Policepardfaut"/>
    <w:rsid w:val="00F907C3"/>
  </w:style>
  <w:style w:type="character" w:styleId="Marquedecommentaire">
    <w:name w:val="annotation reference"/>
    <w:basedOn w:val="Policepardfaut"/>
    <w:uiPriority w:val="99"/>
    <w:unhideWhenUsed/>
    <w:rsid w:val="00F907C3"/>
    <w:rPr>
      <w:sz w:val="16"/>
      <w:szCs w:val="16"/>
    </w:rPr>
  </w:style>
  <w:style w:type="paragraph" w:styleId="Textedebulles">
    <w:name w:val="Balloon Text"/>
    <w:basedOn w:val="Normal"/>
    <w:link w:val="TextedebullesCar"/>
    <w:uiPriority w:val="99"/>
    <w:semiHidden/>
    <w:unhideWhenUsed/>
    <w:rsid w:val="00F907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07C3"/>
    <w:rPr>
      <w:rFonts w:ascii="Segoe UI" w:eastAsia="Times New Roman" w:hAnsi="Segoe UI" w:cs="Segoe UI"/>
      <w:bCs/>
      <w:sz w:val="18"/>
      <w:szCs w:val="18"/>
      <w:lang w:val="fr-FR" w:eastAsia="fr-FR"/>
    </w:rPr>
  </w:style>
  <w:style w:type="paragraph" w:styleId="Objetducommentaire">
    <w:name w:val="annotation subject"/>
    <w:basedOn w:val="Commentaire"/>
    <w:next w:val="Commentaire"/>
    <w:link w:val="ObjetducommentaireCar"/>
    <w:uiPriority w:val="99"/>
    <w:semiHidden/>
    <w:unhideWhenUsed/>
    <w:rsid w:val="000C5680"/>
    <w:rPr>
      <w:rFonts w:ascii="Arial Narrow" w:hAnsi="Arial Narrow"/>
      <w:b/>
      <w:bCs/>
      <w:lang w:val="fr-FR" w:eastAsia="fr-FR"/>
    </w:rPr>
  </w:style>
  <w:style w:type="character" w:customStyle="1" w:styleId="ObjetducommentaireCar">
    <w:name w:val="Objet du commentaire Car"/>
    <w:basedOn w:val="CommentaireCar"/>
    <w:link w:val="Objetducommentaire"/>
    <w:uiPriority w:val="99"/>
    <w:semiHidden/>
    <w:rsid w:val="000C5680"/>
    <w:rPr>
      <w:rFonts w:ascii="Arial Narrow" w:eastAsia="Times New Roman" w:hAnsi="Arial Narrow" w:cs="Times New Roman"/>
      <w:b/>
      <w:bCs/>
      <w:sz w:val="20"/>
      <w:szCs w:val="20"/>
      <w:lang w:val="fr-FR" w:eastAsia="fr-FR"/>
    </w:rPr>
  </w:style>
  <w:style w:type="paragraph" w:styleId="Corpsdetexte2">
    <w:name w:val="Body Text 2"/>
    <w:basedOn w:val="Normal"/>
    <w:link w:val="Corpsdetexte2Car"/>
    <w:rsid w:val="000C5680"/>
    <w:pPr>
      <w:jc w:val="both"/>
    </w:pPr>
    <w:rPr>
      <w:rFonts w:ascii="Arial" w:hAnsi="Arial" w:cs="Arial"/>
      <w:bCs w:val="0"/>
      <w:sz w:val="28"/>
    </w:rPr>
  </w:style>
  <w:style w:type="character" w:customStyle="1" w:styleId="Corpsdetexte2Car">
    <w:name w:val="Corps de texte 2 Car"/>
    <w:basedOn w:val="Policepardfaut"/>
    <w:link w:val="Corpsdetexte2"/>
    <w:rsid w:val="000C5680"/>
    <w:rPr>
      <w:rFonts w:ascii="Arial" w:eastAsia="Times New Roman" w:hAnsi="Arial" w:cs="Arial"/>
      <w:sz w:val="28"/>
      <w:szCs w:val="24"/>
      <w:lang w:val="fr-FR" w:eastAsia="fr-FR"/>
    </w:rPr>
  </w:style>
  <w:style w:type="paragraph" w:styleId="Notedebasdepage">
    <w:name w:val="footnote text"/>
    <w:aliases w:val="Footnote Text Char1 Char,Footnote Text Char Char Char1,Footnote Text Char1 Char Char Char1,Footnote Text Char1 Char1 Char,Footnote Text Char Char Char Char,Footnote Text Char1 Char Char Char Char,footnote text Car,Footnote Text Char"/>
    <w:basedOn w:val="Normal"/>
    <w:link w:val="NotedebasdepageCar"/>
    <w:unhideWhenUsed/>
    <w:qFormat/>
    <w:rsid w:val="000C5680"/>
    <w:rPr>
      <w:rFonts w:ascii="Calibri" w:eastAsia="Calibri" w:hAnsi="Calibri"/>
      <w:bCs w:val="0"/>
      <w:sz w:val="20"/>
      <w:szCs w:val="20"/>
      <w:lang w:eastAsia="en-US"/>
    </w:rPr>
  </w:style>
  <w:style w:type="character" w:customStyle="1" w:styleId="NotedebasdepageCar">
    <w:name w:val="Note de bas de page Car"/>
    <w:aliases w:val="Footnote Text Char1 Char Car,Footnote Text Char Char Char1 Car,Footnote Text Char1 Char Char Char1 Car,Footnote Text Char1 Char1 Char Car,Footnote Text Char Char Char Char Car,Footnote Text Char1 Char Char Char Char Car"/>
    <w:basedOn w:val="Policepardfaut"/>
    <w:link w:val="Notedebasdepage"/>
    <w:rsid w:val="000C5680"/>
    <w:rPr>
      <w:rFonts w:ascii="Calibri" w:eastAsia="Calibri" w:hAnsi="Calibri" w:cs="Times New Roman"/>
      <w:sz w:val="20"/>
      <w:szCs w:val="20"/>
      <w:lang w:val="fr-FR"/>
    </w:rPr>
  </w:style>
  <w:style w:type="character" w:styleId="Appelnotedebasdep">
    <w:name w:val="footnote reference"/>
    <w:aliases w:val="note bp, Car Car Char Car Char Car Car Char Car Char Char, Car Car Car Car Car Car Car Car Char Car Car Char Car Car Car Char Car Char Char Char,ftref,Car Car Char Car Char Car Car Char Car Char Char,SUPERS,16 Point, BVI fnr"/>
    <w:link w:val="BVIfnrCarCar1Car"/>
    <w:uiPriority w:val="99"/>
    <w:unhideWhenUsed/>
    <w:rsid w:val="000C5680"/>
    <w:rPr>
      <w:vertAlign w:val="superscript"/>
    </w:rPr>
  </w:style>
  <w:style w:type="paragraph" w:customStyle="1" w:styleId="BVIfnrCarCar1Car">
    <w:name w:val="BVI fnr Car Car1 Car"/>
    <w:aliases w:val="BVI fnr Car Car Car1, BVI fnr Car Car Car Car Car, BVI fnr Car Car Car Car Char Car Car Car Car, BVI fnr Car Car Car Car Char Char Car Car Car,BVI fnr Car Car Car Car Car,BVI fnr Car Car Car Car Char Car Car Car Car"/>
    <w:basedOn w:val="Normal"/>
    <w:link w:val="Appelnotedebasdep"/>
    <w:uiPriority w:val="99"/>
    <w:rsid w:val="000C5680"/>
    <w:pPr>
      <w:spacing w:after="160" w:line="240" w:lineRule="exact"/>
      <w:jc w:val="both"/>
    </w:pPr>
    <w:rPr>
      <w:rFonts w:asciiTheme="minorHAnsi" w:eastAsiaTheme="minorHAnsi" w:hAnsiTheme="minorHAnsi" w:cstheme="minorBidi"/>
      <w:bCs w:val="0"/>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s.uagcp@gmail.com" TargetMode="External"/><Relationship Id="rId4" Type="http://schemas.openxmlformats.org/officeDocument/2006/relationships/webSettings" Target="webSettings.xml"/><Relationship Id="rId9" Type="http://schemas.openxmlformats.org/officeDocument/2006/relationships/hyperlink" Target="mailto:tenders.uagcp@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1241</Words>
  <Characters>7075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dc:creator>
  <cp:keywords/>
  <dc:description/>
  <cp:lastModifiedBy>UAGCP-1</cp:lastModifiedBy>
  <cp:revision>3</cp:revision>
  <dcterms:created xsi:type="dcterms:W3CDTF">2023-10-28T07:49:00Z</dcterms:created>
  <dcterms:modified xsi:type="dcterms:W3CDTF">2023-10-28T09:07:00Z</dcterms:modified>
</cp:coreProperties>
</file>