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tblInd w:w="-714" w:type="dxa"/>
        <w:tblCellMar>
          <w:left w:w="0" w:type="dxa"/>
          <w:right w:w="0" w:type="dxa"/>
        </w:tblCellMar>
        <w:tblLook w:val="04A0" w:firstRow="1" w:lastRow="0" w:firstColumn="1" w:lastColumn="0" w:noHBand="0" w:noVBand="1"/>
      </w:tblPr>
      <w:tblGrid>
        <w:gridCol w:w="1423"/>
        <w:gridCol w:w="2186"/>
        <w:gridCol w:w="3609"/>
        <w:gridCol w:w="2065"/>
        <w:gridCol w:w="1547"/>
      </w:tblGrid>
      <w:tr w:rsidR="004B59A0" w:rsidRPr="006C7E7D" w14:paraId="350A2413" w14:textId="77777777" w:rsidTr="0015577A">
        <w:trPr>
          <w:trHeight w:val="1483"/>
        </w:trPr>
        <w:tc>
          <w:tcPr>
            <w:tcW w:w="1423" w:type="dxa"/>
            <w:shd w:val="clear" w:color="auto" w:fill="auto"/>
          </w:tcPr>
          <w:p w14:paraId="385299C8" w14:textId="77777777" w:rsidR="004B59A0" w:rsidRPr="006C7E7D" w:rsidRDefault="004B59A0" w:rsidP="00693238">
            <w:pPr>
              <w:pStyle w:val="En-tte"/>
              <w:jc w:val="center"/>
              <w:rPr>
                <w:sz w:val="28"/>
                <w:szCs w:val="28"/>
              </w:rPr>
            </w:pPr>
            <w:bookmarkStart w:id="0" w:name="_Hlk60908852"/>
            <w:r w:rsidRPr="006C7E7D">
              <w:rPr>
                <w:noProof/>
                <w:sz w:val="28"/>
                <w:szCs w:val="28"/>
                <w:lang w:val="en-US" w:eastAsia="en-US"/>
              </w:rPr>
              <w:drawing>
                <wp:inline distT="0" distB="0" distL="0" distR="0" wp14:anchorId="3960846B" wp14:editId="46C4D8CF">
                  <wp:extent cx="825500" cy="838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838200"/>
                          </a:xfrm>
                          <a:prstGeom prst="rect">
                            <a:avLst/>
                          </a:prstGeom>
                          <a:noFill/>
                          <a:ln>
                            <a:noFill/>
                          </a:ln>
                        </pic:spPr>
                      </pic:pic>
                    </a:graphicData>
                  </a:graphic>
                </wp:inline>
              </w:drawing>
            </w:r>
          </w:p>
        </w:tc>
        <w:tc>
          <w:tcPr>
            <w:tcW w:w="7860" w:type="dxa"/>
            <w:gridSpan w:val="3"/>
            <w:shd w:val="clear" w:color="auto" w:fill="auto"/>
          </w:tcPr>
          <w:p w14:paraId="53E2506B" w14:textId="77777777" w:rsidR="004B59A0" w:rsidRPr="006C7E7D" w:rsidRDefault="004B59A0" w:rsidP="00693238">
            <w:pPr>
              <w:pStyle w:val="En-tte"/>
              <w:jc w:val="center"/>
              <w:rPr>
                <w:b/>
                <w:bCs/>
              </w:rPr>
            </w:pPr>
            <w:r w:rsidRPr="006C7E7D">
              <w:rPr>
                <w:b/>
                <w:bCs/>
              </w:rPr>
              <w:t>REPUBLIQUE DE GUINEE</w:t>
            </w:r>
          </w:p>
          <w:p w14:paraId="2C33ECA4" w14:textId="77777777" w:rsidR="004B59A0" w:rsidRPr="006C7E7D" w:rsidRDefault="004B59A0" w:rsidP="00693238">
            <w:pPr>
              <w:pStyle w:val="En-tte"/>
              <w:jc w:val="center"/>
            </w:pPr>
            <w:r w:rsidRPr="006C7E7D">
              <w:rPr>
                <w:color w:val="FF0000"/>
              </w:rPr>
              <w:t>Travail</w:t>
            </w:r>
            <w:r w:rsidRPr="006C7E7D">
              <w:t>-</w:t>
            </w:r>
            <w:r w:rsidRPr="006C7E7D">
              <w:rPr>
                <w:color w:val="FFC000"/>
              </w:rPr>
              <w:t>Justice</w:t>
            </w:r>
            <w:r w:rsidRPr="006C7E7D">
              <w:t>-</w:t>
            </w:r>
            <w:r w:rsidRPr="006C7E7D">
              <w:rPr>
                <w:color w:val="00B050"/>
              </w:rPr>
              <w:t>Solidarité</w:t>
            </w:r>
          </w:p>
          <w:p w14:paraId="5F0A2C43" w14:textId="77777777" w:rsidR="004B59A0" w:rsidRPr="006C7E7D" w:rsidRDefault="004B59A0" w:rsidP="00693238">
            <w:pPr>
              <w:pStyle w:val="En-tte"/>
              <w:spacing w:before="120" w:after="120"/>
              <w:jc w:val="center"/>
              <w:rPr>
                <w:b/>
                <w:bCs/>
              </w:rPr>
            </w:pPr>
            <w:r w:rsidRPr="006C7E7D">
              <w:rPr>
                <w:b/>
                <w:bCs/>
              </w:rPr>
              <w:t>MINISTERE DE LA SANTE</w:t>
            </w:r>
          </w:p>
          <w:p w14:paraId="78F99327" w14:textId="77777777" w:rsidR="004B59A0" w:rsidRDefault="004B59A0" w:rsidP="008C6487">
            <w:pPr>
              <w:pStyle w:val="En-tte"/>
              <w:jc w:val="center"/>
              <w:rPr>
                <w:b/>
                <w:bCs/>
              </w:rPr>
            </w:pPr>
            <w:r w:rsidRPr="006C7E7D">
              <w:rPr>
                <w:b/>
                <w:bCs/>
              </w:rPr>
              <w:t>UNITE D'APPUI A LA GESTION ET A LA COORDINATION DES PROGRAMMES (UAGCP)</w:t>
            </w:r>
          </w:p>
          <w:p w14:paraId="51ABC8BB" w14:textId="1529A05C" w:rsidR="00BE5EF6" w:rsidRPr="006C7E7D" w:rsidRDefault="00BE5EF6" w:rsidP="008C6487">
            <w:pPr>
              <w:pStyle w:val="En-tte"/>
              <w:jc w:val="center"/>
            </w:pPr>
          </w:p>
        </w:tc>
        <w:tc>
          <w:tcPr>
            <w:tcW w:w="1547" w:type="dxa"/>
            <w:shd w:val="clear" w:color="auto" w:fill="auto"/>
          </w:tcPr>
          <w:p w14:paraId="46408A65" w14:textId="77777777" w:rsidR="004B59A0" w:rsidRPr="006C7E7D" w:rsidRDefault="004B59A0" w:rsidP="00693238">
            <w:pPr>
              <w:pStyle w:val="En-tte"/>
              <w:jc w:val="center"/>
              <w:rPr>
                <w:sz w:val="28"/>
                <w:szCs w:val="28"/>
              </w:rPr>
            </w:pPr>
            <w:r w:rsidRPr="006C7E7D">
              <w:rPr>
                <w:noProof/>
                <w:sz w:val="28"/>
                <w:szCs w:val="28"/>
                <w:lang w:val="en-US" w:eastAsia="en-US"/>
              </w:rPr>
              <w:drawing>
                <wp:inline distT="0" distB="0" distL="0" distR="0" wp14:anchorId="08BE522C" wp14:editId="086314B7">
                  <wp:extent cx="7493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inline>
              </w:drawing>
            </w:r>
          </w:p>
        </w:tc>
      </w:tr>
      <w:bookmarkEnd w:id="0"/>
      <w:tr w:rsidR="004B59A0" w:rsidRPr="006C7E7D" w14:paraId="3F5E3509" w14:textId="77777777" w:rsidTr="006B6415">
        <w:trPr>
          <w:trHeight w:val="80"/>
        </w:trPr>
        <w:tc>
          <w:tcPr>
            <w:tcW w:w="3609" w:type="dxa"/>
            <w:gridSpan w:val="2"/>
            <w:shd w:val="clear" w:color="auto" w:fill="FF0000"/>
          </w:tcPr>
          <w:p w14:paraId="6116CF82" w14:textId="77777777" w:rsidR="004B59A0" w:rsidRPr="006C7E7D" w:rsidRDefault="004B59A0" w:rsidP="00693238">
            <w:pPr>
              <w:pStyle w:val="En-tte"/>
              <w:jc w:val="center"/>
              <w:rPr>
                <w:noProof/>
                <w:sz w:val="16"/>
                <w:szCs w:val="16"/>
              </w:rPr>
            </w:pPr>
          </w:p>
        </w:tc>
        <w:tc>
          <w:tcPr>
            <w:tcW w:w="3609" w:type="dxa"/>
            <w:shd w:val="clear" w:color="auto" w:fill="FFFF00"/>
          </w:tcPr>
          <w:p w14:paraId="43238990" w14:textId="77777777" w:rsidR="004B59A0" w:rsidRPr="006B6415" w:rsidRDefault="004B59A0" w:rsidP="00693238">
            <w:pPr>
              <w:pStyle w:val="En-tte"/>
              <w:jc w:val="center"/>
              <w:rPr>
                <w:sz w:val="12"/>
                <w:szCs w:val="12"/>
              </w:rPr>
            </w:pPr>
          </w:p>
        </w:tc>
        <w:tc>
          <w:tcPr>
            <w:tcW w:w="3610" w:type="dxa"/>
            <w:gridSpan w:val="2"/>
            <w:shd w:val="clear" w:color="auto" w:fill="00B050"/>
          </w:tcPr>
          <w:p w14:paraId="45614343" w14:textId="77777777" w:rsidR="004B59A0" w:rsidRPr="006C7E7D" w:rsidRDefault="004B59A0" w:rsidP="00693238">
            <w:pPr>
              <w:pStyle w:val="En-tte"/>
              <w:rPr>
                <w:noProof/>
                <w:sz w:val="6"/>
                <w:szCs w:val="6"/>
              </w:rPr>
            </w:pPr>
          </w:p>
        </w:tc>
      </w:tr>
    </w:tbl>
    <w:p w14:paraId="1C256FFD" w14:textId="77777777" w:rsidR="004B59A0" w:rsidRPr="006C7E7D" w:rsidRDefault="004B59A0" w:rsidP="004B59A0">
      <w:pPr>
        <w:jc w:val="center"/>
        <w:rPr>
          <w:rFonts w:ascii="Times New Roman" w:hAnsi="Times New Roman"/>
          <w:b/>
          <w:bCs w:val="0"/>
          <w:sz w:val="28"/>
          <w:szCs w:val="28"/>
        </w:rPr>
      </w:pPr>
    </w:p>
    <w:p w14:paraId="63460EF4" w14:textId="27C8794B" w:rsidR="004B59A0" w:rsidRPr="006C7E7D" w:rsidRDefault="00381BB8" w:rsidP="004B59A0">
      <w:pPr>
        <w:spacing w:line="276" w:lineRule="auto"/>
        <w:jc w:val="center"/>
        <w:rPr>
          <w:rFonts w:ascii="Times New Roman" w:hAnsi="Times New Roman"/>
          <w:b/>
        </w:rPr>
      </w:pPr>
      <w:r w:rsidRPr="006C7E7D">
        <w:rPr>
          <w:rFonts w:ascii="Times New Roman" w:hAnsi="Times New Roman"/>
          <w:b/>
        </w:rPr>
        <w:t xml:space="preserve">AVIS </w:t>
      </w:r>
      <w:r>
        <w:rPr>
          <w:rFonts w:ascii="Times New Roman" w:hAnsi="Times New Roman"/>
          <w:b/>
        </w:rPr>
        <w:t>D’APPEL A MANIFESTATION</w:t>
      </w:r>
      <w:r w:rsidRPr="006C7E7D">
        <w:rPr>
          <w:rFonts w:ascii="Times New Roman" w:hAnsi="Times New Roman"/>
          <w:b/>
        </w:rPr>
        <w:t xml:space="preserve"> D’INTERET N°0</w:t>
      </w:r>
      <w:r w:rsidR="00B55336">
        <w:rPr>
          <w:rFonts w:ascii="Times New Roman" w:hAnsi="Times New Roman"/>
          <w:b/>
        </w:rPr>
        <w:t>23</w:t>
      </w:r>
      <w:r w:rsidRPr="006C7E7D">
        <w:rPr>
          <w:rFonts w:ascii="Times New Roman" w:hAnsi="Times New Roman"/>
          <w:b/>
        </w:rPr>
        <w:t>/2023/SI/AO</w:t>
      </w:r>
      <w:r w:rsidR="00B12A1C">
        <w:rPr>
          <w:rFonts w:ascii="Times New Roman" w:hAnsi="Times New Roman"/>
          <w:b/>
        </w:rPr>
        <w:t>N</w:t>
      </w:r>
      <w:r w:rsidRPr="006C7E7D">
        <w:rPr>
          <w:rFonts w:ascii="Times New Roman" w:hAnsi="Times New Roman"/>
          <w:b/>
        </w:rPr>
        <w:t>/FM/UAGCP</w:t>
      </w:r>
    </w:p>
    <w:p w14:paraId="11B8A2E0" w14:textId="77777777" w:rsidR="004B59A0" w:rsidRPr="006C7E7D" w:rsidRDefault="004B59A0" w:rsidP="004B59A0">
      <w:pPr>
        <w:ind w:left="900" w:hanging="900"/>
        <w:jc w:val="both"/>
        <w:rPr>
          <w:rFonts w:ascii="Times New Roman" w:hAnsi="Times New Roman"/>
          <w:b/>
          <w:sz w:val="14"/>
          <w:szCs w:val="14"/>
          <w:lang w:val="fr-CA"/>
        </w:rPr>
      </w:pPr>
    </w:p>
    <w:p w14:paraId="5CC39C08" w14:textId="77777777" w:rsidR="00BE5EF6" w:rsidRPr="00970462" w:rsidRDefault="004B59A0" w:rsidP="00970462">
      <w:pPr>
        <w:ind w:left="993" w:hanging="993"/>
        <w:jc w:val="both"/>
        <w:rPr>
          <w:rFonts w:ascii="Times New Roman" w:hAnsi="Times New Roman"/>
          <w:b/>
          <w:sz w:val="22"/>
          <w:szCs w:val="22"/>
        </w:rPr>
      </w:pPr>
      <w:r w:rsidRPr="006C7E7D">
        <w:rPr>
          <w:rFonts w:ascii="Times New Roman" w:hAnsi="Times New Roman"/>
          <w:b/>
          <w:sz w:val="22"/>
          <w:szCs w:val="22"/>
          <w:u w:val="single"/>
          <w:lang w:val="fr-CA"/>
        </w:rPr>
        <w:t>TITRE</w:t>
      </w:r>
      <w:r w:rsidRPr="006C7E7D">
        <w:rPr>
          <w:rFonts w:ascii="Times New Roman" w:hAnsi="Times New Roman"/>
          <w:b/>
          <w:sz w:val="22"/>
          <w:szCs w:val="22"/>
          <w:lang w:val="fr-CA"/>
        </w:rPr>
        <w:t xml:space="preserve"> : </w:t>
      </w:r>
      <w:r w:rsidR="00BE5EF6" w:rsidRPr="00970462">
        <w:rPr>
          <w:rFonts w:ascii="Times New Roman" w:hAnsi="Times New Roman"/>
          <w:b/>
          <w:sz w:val="22"/>
          <w:szCs w:val="22"/>
        </w:rPr>
        <w:t>RECRUTEMENT D’UN CONSULTANT NATIONAL POUR LA RÉALISATION DE L’ENQUÊTE NATIONALE DE SURVEILLANCE SENTINELLE DU VIH ET DE LA SYPHILIS AUPRÈS DES FEMMES ENCEINTES REÇUES EN CPN (ENSS), GUINÉE, 2023</w:t>
      </w:r>
    </w:p>
    <w:p w14:paraId="734D24FE" w14:textId="080176AC" w:rsidR="004B59A0" w:rsidRPr="006C7E7D" w:rsidRDefault="004B59A0" w:rsidP="004B59A0">
      <w:pPr>
        <w:spacing w:after="120"/>
        <w:ind w:left="902" w:hanging="902"/>
        <w:jc w:val="both"/>
        <w:rPr>
          <w:rFonts w:ascii="Times New Roman" w:hAnsi="Times New Roman"/>
          <w:b/>
          <w:sz w:val="22"/>
          <w:szCs w:val="22"/>
        </w:rPr>
      </w:pPr>
    </w:p>
    <w:p w14:paraId="2EAD04A9" w14:textId="77777777" w:rsidR="0015577A" w:rsidRPr="006C7E7D" w:rsidRDefault="0015577A" w:rsidP="0015577A">
      <w:pPr>
        <w:ind w:left="902" w:hanging="902"/>
        <w:jc w:val="both"/>
        <w:rPr>
          <w:rFonts w:ascii="Times New Roman" w:hAnsi="Times New Roman"/>
          <w:b/>
          <w:bCs w:val="0"/>
          <w:sz w:val="22"/>
        </w:rPr>
      </w:pPr>
      <w:bookmarkStart w:id="1" w:name="_Hlk86831500"/>
      <w:bookmarkStart w:id="2" w:name="_Hlk86754904"/>
      <w:r w:rsidRPr="006C7E7D">
        <w:rPr>
          <w:rFonts w:ascii="Times New Roman" w:hAnsi="Times New Roman"/>
          <w:b/>
          <w:bCs w:val="0"/>
          <w:sz w:val="22"/>
          <w:lang w:val="fr-CA"/>
        </w:rPr>
        <w:t>FINANCEMENT </w:t>
      </w:r>
      <w:r w:rsidRPr="006C7E7D">
        <w:rPr>
          <w:rFonts w:ascii="Times New Roman" w:hAnsi="Times New Roman"/>
          <w:b/>
          <w:bCs w:val="0"/>
          <w:sz w:val="22"/>
        </w:rPr>
        <w:t>: Fonds Mondial</w:t>
      </w:r>
    </w:p>
    <w:bookmarkEnd w:id="1"/>
    <w:bookmarkEnd w:id="2"/>
    <w:p w14:paraId="3E98A13C" w14:textId="77777777" w:rsidR="0015577A" w:rsidRPr="008C6487" w:rsidRDefault="0015577A" w:rsidP="0015577A">
      <w:pPr>
        <w:pBdr>
          <w:top w:val="single" w:sz="4" w:space="1" w:color="auto"/>
        </w:pBdr>
        <w:tabs>
          <w:tab w:val="num" w:pos="720"/>
        </w:tabs>
        <w:jc w:val="both"/>
        <w:rPr>
          <w:rFonts w:ascii="Times New Roman" w:hAnsi="Times New Roman"/>
          <w:bCs w:val="0"/>
          <w:sz w:val="14"/>
          <w:szCs w:val="14"/>
        </w:rPr>
      </w:pPr>
    </w:p>
    <w:p w14:paraId="786CF45C" w14:textId="77777777" w:rsidR="00111877" w:rsidRDefault="00BE5EF6" w:rsidP="00970462">
      <w:pPr>
        <w:autoSpaceDE w:val="0"/>
        <w:autoSpaceDN w:val="0"/>
        <w:adjustRightInd w:val="0"/>
        <w:spacing w:line="276" w:lineRule="auto"/>
        <w:jc w:val="both"/>
        <w:rPr>
          <w:rFonts w:ascii="Times New Roman" w:hAnsi="Times New Roman"/>
          <w:sz w:val="22"/>
          <w:szCs w:val="22"/>
        </w:rPr>
      </w:pPr>
      <w:r w:rsidRPr="00970462">
        <w:rPr>
          <w:rFonts w:ascii="Times New Roman" w:hAnsi="Times New Roman"/>
          <w:sz w:val="22"/>
          <w:szCs w:val="22"/>
        </w:rPr>
        <w:t xml:space="preserve">La République de Guinée a sollicité et obtenu du Fonds mondial de lutte contre le sida, la tuberculose et le paludisme, une subvention pour la période 2021-2023. Une partie de cette subvention est destinée à réduire la mortalité et la morbidité chez les adultes et les enfants vivant avec le VIH grâce à un meilleur accès au traitement (y compris le traitement de la coïnfection TB/VIH), aux soins et au soutien des personnes vivant avec le VIH. </w:t>
      </w:r>
    </w:p>
    <w:p w14:paraId="5EE6A086" w14:textId="77777777" w:rsidR="00111877" w:rsidRDefault="00111877" w:rsidP="00970462">
      <w:pPr>
        <w:spacing w:line="276" w:lineRule="auto"/>
        <w:jc w:val="both"/>
        <w:rPr>
          <w:rFonts w:ascii="Times New Roman" w:hAnsi="Times New Roman"/>
          <w:sz w:val="22"/>
          <w:szCs w:val="22"/>
        </w:rPr>
      </w:pPr>
    </w:p>
    <w:p w14:paraId="1F286A9E" w14:textId="77777777" w:rsidR="00111877" w:rsidRDefault="00BE5EF6" w:rsidP="00970462">
      <w:pPr>
        <w:spacing w:line="276" w:lineRule="auto"/>
        <w:jc w:val="both"/>
        <w:rPr>
          <w:rFonts w:ascii="Times New Roman" w:hAnsi="Times New Roman"/>
          <w:noProof/>
          <w:sz w:val="22"/>
          <w:szCs w:val="22"/>
        </w:rPr>
      </w:pPr>
      <w:r w:rsidRPr="00970462">
        <w:rPr>
          <w:rFonts w:ascii="Times New Roman" w:hAnsi="Times New Roman"/>
          <w:sz w:val="22"/>
          <w:szCs w:val="22"/>
        </w:rPr>
        <w:t xml:space="preserve">L’épidémie du VIH/sida en Guinée comme dans les autres pays de la sous-région Afrique de l’ouest </w:t>
      </w:r>
      <w:r w:rsidRPr="00970462">
        <w:rPr>
          <w:rFonts w:ascii="Times New Roman" w:hAnsi="Times New Roman"/>
          <w:noProof/>
          <w:sz w:val="22"/>
          <w:szCs w:val="22"/>
        </w:rPr>
        <w:t xml:space="preserve">est de type généralisé avec une prévalence nationale de 1,5% au sein de la population âgée de 15 à 49 ans (EDS 2018). Elle varie suivant le milieu de résidence (2% en milieu urbain contre 1,1% en milieu rural) et les régions administratives ( plus élevée à Boké 2%  suivi de Kindia avec 1,8% et Conakry avec 1,7%). </w:t>
      </w:r>
    </w:p>
    <w:p w14:paraId="434B626C" w14:textId="77777777" w:rsidR="00111877" w:rsidRDefault="00111877" w:rsidP="00970462">
      <w:pPr>
        <w:spacing w:line="276" w:lineRule="auto"/>
        <w:jc w:val="both"/>
        <w:rPr>
          <w:rFonts w:ascii="Times New Roman" w:hAnsi="Times New Roman"/>
          <w:noProof/>
          <w:sz w:val="22"/>
          <w:szCs w:val="22"/>
        </w:rPr>
      </w:pPr>
    </w:p>
    <w:p w14:paraId="20F5263A" w14:textId="6C8EF49F" w:rsidR="00BE5EF6" w:rsidRDefault="00BE5EF6" w:rsidP="00970462">
      <w:pPr>
        <w:spacing w:line="276" w:lineRule="auto"/>
        <w:jc w:val="both"/>
        <w:rPr>
          <w:rFonts w:ascii="Times New Roman" w:hAnsi="Times New Roman"/>
          <w:noProof/>
          <w:sz w:val="22"/>
          <w:szCs w:val="22"/>
        </w:rPr>
      </w:pPr>
      <w:r w:rsidRPr="00970462">
        <w:rPr>
          <w:rFonts w:ascii="Times New Roman" w:hAnsi="Times New Roman"/>
          <w:sz w:val="22"/>
          <w:szCs w:val="22"/>
        </w:rPr>
        <w:t xml:space="preserve">Selon les projections Spectrum v6.29 bases de données Guinee_2023_v2, le nombre de personnes vivant avec le VIH en Guinée en 2022 était de </w:t>
      </w:r>
      <w:r w:rsidRPr="00970462">
        <w:rPr>
          <w:rFonts w:ascii="Times New Roman" w:hAnsi="Times New Roman"/>
          <w:b/>
          <w:sz w:val="22"/>
          <w:szCs w:val="22"/>
        </w:rPr>
        <w:t xml:space="preserve">117 763 </w:t>
      </w:r>
      <w:r w:rsidRPr="00970462">
        <w:rPr>
          <w:rFonts w:ascii="Times New Roman" w:hAnsi="Times New Roman"/>
          <w:sz w:val="22"/>
          <w:szCs w:val="22"/>
        </w:rPr>
        <w:t xml:space="preserve">[102 140– 136 998] dont </w:t>
      </w:r>
      <w:r w:rsidRPr="00970462">
        <w:rPr>
          <w:rFonts w:ascii="Times New Roman" w:hAnsi="Times New Roman"/>
          <w:b/>
          <w:sz w:val="22"/>
          <w:szCs w:val="22"/>
        </w:rPr>
        <w:t>75 327 femmes</w:t>
      </w:r>
      <w:r w:rsidRPr="00970462">
        <w:rPr>
          <w:rFonts w:ascii="Times New Roman" w:hAnsi="Times New Roman"/>
          <w:sz w:val="22"/>
          <w:szCs w:val="22"/>
        </w:rPr>
        <w:t xml:space="preserve"> [65 049– 87 742] soit 64 %. </w:t>
      </w:r>
      <w:r w:rsidRPr="00970462">
        <w:rPr>
          <w:rFonts w:ascii="Times New Roman" w:hAnsi="Times New Roman"/>
          <w:noProof/>
          <w:sz w:val="22"/>
          <w:szCs w:val="22"/>
        </w:rPr>
        <w:t>On observe une féminisation de l’infection par le VIH (</w:t>
      </w:r>
      <w:r w:rsidRPr="00970462">
        <w:rPr>
          <w:rFonts w:ascii="Times New Roman" w:hAnsi="Times New Roman"/>
          <w:sz w:val="22"/>
          <w:szCs w:val="22"/>
        </w:rPr>
        <w:t>qu’il s’agisse de la prévalence du VIH observée à partir des enquêtes</w:t>
      </w:r>
      <w:r w:rsidRPr="00970462">
        <w:rPr>
          <w:rStyle w:val="Appelnotedebasdep"/>
          <w:rFonts w:ascii="Times New Roman" w:hAnsi="Times New Roman"/>
          <w:sz w:val="22"/>
          <w:szCs w:val="22"/>
        </w:rPr>
        <w:footnoteReference w:id="1"/>
      </w:r>
      <w:r w:rsidRPr="00970462">
        <w:rPr>
          <w:rFonts w:ascii="Times New Roman" w:hAnsi="Times New Roman"/>
          <w:sz w:val="22"/>
          <w:szCs w:val="22"/>
        </w:rPr>
        <w:t xml:space="preserve"> ou de celle observée à partir des estimations</w:t>
      </w:r>
      <w:r w:rsidRPr="00970462">
        <w:rPr>
          <w:rStyle w:val="Appelnotedebasdep"/>
          <w:rFonts w:ascii="Times New Roman" w:hAnsi="Times New Roman"/>
          <w:sz w:val="22"/>
          <w:szCs w:val="22"/>
        </w:rPr>
        <w:footnoteReference w:id="2"/>
      </w:r>
      <w:r w:rsidRPr="00970462">
        <w:rPr>
          <w:rFonts w:ascii="Times New Roman" w:hAnsi="Times New Roman"/>
          <w:sz w:val="22"/>
          <w:szCs w:val="22"/>
        </w:rPr>
        <w:t>)</w:t>
      </w:r>
      <w:r w:rsidRPr="00970462">
        <w:rPr>
          <w:rFonts w:ascii="Times New Roman" w:hAnsi="Times New Roman"/>
          <w:noProof/>
          <w:sz w:val="22"/>
          <w:szCs w:val="22"/>
        </w:rPr>
        <w:t xml:space="preserve">. </w:t>
      </w:r>
    </w:p>
    <w:p w14:paraId="024E0298" w14:textId="77777777" w:rsidR="00111877" w:rsidRPr="00970462" w:rsidRDefault="00111877" w:rsidP="00970462">
      <w:pPr>
        <w:spacing w:line="276" w:lineRule="auto"/>
        <w:jc w:val="both"/>
        <w:rPr>
          <w:rFonts w:ascii="Times New Roman" w:hAnsi="Times New Roman"/>
          <w:noProof/>
          <w:sz w:val="22"/>
          <w:szCs w:val="22"/>
        </w:rPr>
      </w:pPr>
    </w:p>
    <w:p w14:paraId="5FDD9D2D" w14:textId="77777777" w:rsidR="00111877" w:rsidRDefault="00BE5EF6" w:rsidP="00970462">
      <w:pPr>
        <w:tabs>
          <w:tab w:val="left" w:pos="2694"/>
        </w:tabs>
        <w:spacing w:line="276" w:lineRule="auto"/>
        <w:jc w:val="both"/>
        <w:rPr>
          <w:rFonts w:ascii="Times New Roman" w:hAnsi="Times New Roman"/>
          <w:sz w:val="22"/>
          <w:szCs w:val="22"/>
        </w:rPr>
      </w:pPr>
      <w:r w:rsidRPr="00970462">
        <w:rPr>
          <w:rFonts w:ascii="Times New Roman" w:hAnsi="Times New Roman"/>
          <w:sz w:val="22"/>
          <w:szCs w:val="22"/>
        </w:rPr>
        <w:t xml:space="preserve">S’agissant des femmes enceintes, bien que la méthode de recensement des données de consultation prénatale soit fortement recommandée en matière de surveillance. La situation en République de Guinée est telle que les bases de données disponibles au niveau opérationnel ne sont pas encore suffisamment consistantes et stables pour répondre de manière efficace au besoin des données de prévalence chez les femmes enceintes. </w:t>
      </w:r>
    </w:p>
    <w:p w14:paraId="6099E9DD" w14:textId="77777777" w:rsidR="00111877" w:rsidRDefault="00111877" w:rsidP="00970462">
      <w:pPr>
        <w:tabs>
          <w:tab w:val="left" w:pos="2694"/>
        </w:tabs>
        <w:spacing w:line="276" w:lineRule="auto"/>
        <w:jc w:val="both"/>
        <w:rPr>
          <w:rFonts w:ascii="Times New Roman" w:hAnsi="Times New Roman"/>
          <w:sz w:val="22"/>
          <w:szCs w:val="22"/>
        </w:rPr>
      </w:pPr>
    </w:p>
    <w:p w14:paraId="77C84473" w14:textId="0BADB0C2" w:rsidR="00BE5EF6" w:rsidRDefault="00BE5EF6" w:rsidP="00970462">
      <w:pPr>
        <w:tabs>
          <w:tab w:val="left" w:pos="2694"/>
        </w:tabs>
        <w:spacing w:line="276" w:lineRule="auto"/>
        <w:jc w:val="both"/>
        <w:rPr>
          <w:rFonts w:ascii="Times New Roman" w:hAnsi="Times New Roman"/>
          <w:sz w:val="22"/>
          <w:szCs w:val="22"/>
        </w:rPr>
      </w:pPr>
      <w:r w:rsidRPr="00970462">
        <w:rPr>
          <w:rFonts w:ascii="Times New Roman" w:hAnsi="Times New Roman"/>
          <w:sz w:val="22"/>
          <w:szCs w:val="22"/>
        </w:rPr>
        <w:t xml:space="preserve">En effet, d’une part, le DHIS-2 retenu comme système de communication des données de routine, poursuit sa phase de consolidation en vue d’atteindre un degré avéré d’exactitude, d’exhaustivité et d’intégrité des données. D’autre part, il est jusqu’ici observé des ruptures récurrentes et persistantes des intrants de </w:t>
      </w:r>
      <w:r w:rsidRPr="00970462">
        <w:rPr>
          <w:rFonts w:ascii="Times New Roman" w:hAnsi="Times New Roman"/>
          <w:sz w:val="22"/>
          <w:szCs w:val="22"/>
        </w:rPr>
        <w:lastRenderedPageBreak/>
        <w:t>dépistage au niveau de plusieurs sites PTME du pays, ce qui ne garantit pas une offre continue du dépistage chez les femmes enceintes reçues en CPN.</w:t>
      </w:r>
    </w:p>
    <w:p w14:paraId="2162C46A" w14:textId="77777777" w:rsidR="00111877" w:rsidRPr="00970462" w:rsidRDefault="00111877" w:rsidP="00970462">
      <w:pPr>
        <w:tabs>
          <w:tab w:val="left" w:pos="2694"/>
        </w:tabs>
        <w:spacing w:line="276" w:lineRule="auto"/>
        <w:jc w:val="both"/>
        <w:rPr>
          <w:rFonts w:ascii="Times New Roman" w:hAnsi="Times New Roman"/>
          <w:sz w:val="22"/>
          <w:szCs w:val="22"/>
        </w:rPr>
      </w:pPr>
    </w:p>
    <w:p w14:paraId="58F6F79F" w14:textId="6515EA5A" w:rsidR="00BE5EF6" w:rsidRDefault="00BE5EF6" w:rsidP="00970462">
      <w:pPr>
        <w:spacing w:line="276" w:lineRule="auto"/>
        <w:jc w:val="both"/>
        <w:rPr>
          <w:rFonts w:ascii="Times New Roman" w:hAnsi="Times New Roman"/>
          <w:sz w:val="22"/>
          <w:szCs w:val="22"/>
        </w:rPr>
      </w:pPr>
      <w:r w:rsidRPr="00970462">
        <w:rPr>
          <w:rFonts w:ascii="Times New Roman" w:hAnsi="Times New Roman"/>
          <w:sz w:val="22"/>
          <w:szCs w:val="22"/>
        </w:rPr>
        <w:t>En attendant que les conditions idoines ne soient continuellement réunies, la surveillance du VIH et de la syphilis chez les femmes enceintes reçues en CPN en République de Guinée se reposera essentiellement sur la surveillance sentinelle par échantillonnage de commodité des sites de consultation prénatale représentant l’ensemble des régions du pays. Le plan de suivi et d’évaluation du Programme National a prévu une réalisation annuelle de l’enquête de surveillance sentinelle.</w:t>
      </w:r>
    </w:p>
    <w:p w14:paraId="14CC625A" w14:textId="77777777" w:rsidR="00111877" w:rsidRPr="00970462" w:rsidRDefault="00111877" w:rsidP="00970462">
      <w:pPr>
        <w:spacing w:line="276" w:lineRule="auto"/>
        <w:jc w:val="both"/>
        <w:rPr>
          <w:rFonts w:ascii="Times New Roman" w:hAnsi="Times New Roman"/>
          <w:sz w:val="22"/>
          <w:szCs w:val="22"/>
        </w:rPr>
      </w:pPr>
    </w:p>
    <w:p w14:paraId="158674BE" w14:textId="7FE5E07F" w:rsidR="00BE5EF6" w:rsidRDefault="00BE5EF6" w:rsidP="00970462">
      <w:pPr>
        <w:spacing w:line="276" w:lineRule="auto"/>
        <w:jc w:val="both"/>
        <w:rPr>
          <w:rFonts w:ascii="Times New Roman" w:hAnsi="Times New Roman"/>
          <w:color w:val="000000" w:themeColor="text1"/>
          <w:sz w:val="22"/>
          <w:szCs w:val="22"/>
        </w:rPr>
      </w:pPr>
      <w:r w:rsidRPr="00970462">
        <w:rPr>
          <w:rFonts w:ascii="Times New Roman" w:hAnsi="Times New Roman"/>
          <w:sz w:val="22"/>
          <w:szCs w:val="22"/>
        </w:rPr>
        <w:t xml:space="preserve">Ainsi, selon la dernière enquête, réalisée en 2020, la séroprévalence médiane </w:t>
      </w:r>
      <w:r w:rsidRPr="00970462">
        <w:rPr>
          <w:rFonts w:ascii="Times New Roman" w:hAnsi="Times New Roman"/>
          <w:color w:val="000000" w:themeColor="text1"/>
          <w:sz w:val="22"/>
          <w:szCs w:val="22"/>
        </w:rPr>
        <w:t>du VIH était de 1,5% [1,27-1,73] et celle de la syphilis était de 0,7%. Cette séroprévalence variait selon les régions. Pour le VIH : 3,4% (Boké), 1,9% (Conakry), 1,5% (Kankan), 1,4% (N’</w:t>
      </w:r>
      <w:proofErr w:type="spellStart"/>
      <w:r w:rsidRPr="00970462">
        <w:rPr>
          <w:rFonts w:ascii="Times New Roman" w:hAnsi="Times New Roman"/>
          <w:color w:val="000000" w:themeColor="text1"/>
          <w:sz w:val="22"/>
          <w:szCs w:val="22"/>
        </w:rPr>
        <w:t>zérékoré</w:t>
      </w:r>
      <w:proofErr w:type="spellEnd"/>
      <w:r w:rsidRPr="00970462">
        <w:rPr>
          <w:rFonts w:ascii="Times New Roman" w:hAnsi="Times New Roman"/>
          <w:color w:val="000000" w:themeColor="text1"/>
          <w:sz w:val="22"/>
          <w:szCs w:val="22"/>
        </w:rPr>
        <w:t xml:space="preserve"> </w:t>
      </w:r>
      <w:r w:rsidRPr="00970462">
        <w:rPr>
          <w:rFonts w:ascii="Times New Roman" w:hAnsi="Times New Roman"/>
          <w:sz w:val="22"/>
          <w:szCs w:val="22"/>
        </w:rPr>
        <w:t xml:space="preserve">et Kindia) </w:t>
      </w:r>
      <w:r w:rsidRPr="00970462">
        <w:rPr>
          <w:rFonts w:ascii="Times New Roman" w:hAnsi="Times New Roman"/>
          <w:color w:val="000000" w:themeColor="text1"/>
          <w:sz w:val="22"/>
          <w:szCs w:val="22"/>
        </w:rPr>
        <w:t>et les plus faibles ont été observées dans les régions de Faranah 0,95%, à Mamou et Labé 1,0%. Pour la syphilis : 2,8% (Boké), 1,6% (Faranah) et 1,3</w:t>
      </w:r>
      <w:r w:rsidRPr="00970462">
        <w:rPr>
          <w:rFonts w:ascii="Times New Roman" w:hAnsi="Times New Roman"/>
          <w:sz w:val="22"/>
          <w:szCs w:val="22"/>
        </w:rPr>
        <w:t>% (Kindia</w:t>
      </w:r>
      <w:r w:rsidRPr="00970462">
        <w:rPr>
          <w:rFonts w:ascii="Times New Roman" w:hAnsi="Times New Roman"/>
          <w:color w:val="000000" w:themeColor="text1"/>
          <w:sz w:val="22"/>
          <w:szCs w:val="22"/>
        </w:rPr>
        <w:t xml:space="preserve">). </w:t>
      </w:r>
    </w:p>
    <w:p w14:paraId="30E2651E" w14:textId="77777777" w:rsidR="00111877" w:rsidRPr="00970462" w:rsidRDefault="00111877" w:rsidP="00970462">
      <w:pPr>
        <w:spacing w:line="276" w:lineRule="auto"/>
        <w:jc w:val="both"/>
        <w:rPr>
          <w:rFonts w:ascii="Times New Roman" w:hAnsi="Times New Roman"/>
          <w:sz w:val="22"/>
          <w:szCs w:val="22"/>
        </w:rPr>
      </w:pPr>
    </w:p>
    <w:p w14:paraId="64B5EAE2" w14:textId="77777777" w:rsidR="00111877" w:rsidRDefault="00BE5EF6" w:rsidP="00970462">
      <w:pPr>
        <w:spacing w:line="276" w:lineRule="auto"/>
        <w:jc w:val="both"/>
        <w:rPr>
          <w:rFonts w:ascii="Times New Roman" w:hAnsi="Times New Roman"/>
          <w:sz w:val="22"/>
          <w:szCs w:val="22"/>
        </w:rPr>
      </w:pPr>
      <w:r w:rsidRPr="00970462">
        <w:rPr>
          <w:rFonts w:ascii="Times New Roman" w:hAnsi="Times New Roman"/>
          <w:sz w:val="22"/>
          <w:szCs w:val="22"/>
        </w:rPr>
        <w:t xml:space="preserve">Selon le DHIS2, la Guinée dispose au total de 521 sites offrant le service de Consultation Prénatale (CPN) et de dépistage de rattrapage qui ont rapporté des données durant l’année 2022. Lors des enquêtes antérieures de </w:t>
      </w:r>
      <w:proofErr w:type="spellStart"/>
      <w:r w:rsidRPr="00970462">
        <w:rPr>
          <w:rFonts w:ascii="Times New Roman" w:hAnsi="Times New Roman"/>
          <w:sz w:val="22"/>
          <w:szCs w:val="22"/>
        </w:rPr>
        <w:t>Séro</w:t>
      </w:r>
      <w:proofErr w:type="spellEnd"/>
      <w:r w:rsidRPr="00970462">
        <w:rPr>
          <w:rFonts w:ascii="Times New Roman" w:hAnsi="Times New Roman"/>
          <w:sz w:val="22"/>
          <w:szCs w:val="22"/>
        </w:rPr>
        <w:t xml:space="preserve">-surveillance Sentinelle du VIH de 2004 à 2020, un très faible nombre de sites (17 - 43) ont participé à ces enquêtes. </w:t>
      </w:r>
    </w:p>
    <w:p w14:paraId="62881199" w14:textId="77777777" w:rsidR="00111877" w:rsidRDefault="00111877" w:rsidP="00970462">
      <w:pPr>
        <w:spacing w:line="276" w:lineRule="auto"/>
        <w:jc w:val="both"/>
        <w:rPr>
          <w:rFonts w:ascii="Times New Roman" w:hAnsi="Times New Roman"/>
          <w:sz w:val="22"/>
          <w:szCs w:val="22"/>
        </w:rPr>
      </w:pPr>
    </w:p>
    <w:p w14:paraId="623958AA" w14:textId="1918085B" w:rsidR="00BE5EF6" w:rsidRDefault="00BE5EF6" w:rsidP="00970462">
      <w:pPr>
        <w:spacing w:line="276" w:lineRule="auto"/>
        <w:jc w:val="both"/>
        <w:rPr>
          <w:rFonts w:ascii="Times New Roman" w:hAnsi="Times New Roman"/>
          <w:sz w:val="22"/>
          <w:szCs w:val="22"/>
        </w:rPr>
      </w:pPr>
      <w:r w:rsidRPr="00970462">
        <w:rPr>
          <w:rFonts w:ascii="Times New Roman" w:hAnsi="Times New Roman"/>
          <w:sz w:val="22"/>
          <w:szCs w:val="22"/>
        </w:rPr>
        <w:t xml:space="preserve">Bien que le nombre des sites sentinelles ait évolué, le niveau de représentativité reste encore à être améliorer. D’où la non représentativité des données de prévalences au niveau national. </w:t>
      </w:r>
    </w:p>
    <w:p w14:paraId="4A054281" w14:textId="77777777" w:rsidR="00111877" w:rsidRPr="00970462" w:rsidRDefault="00111877" w:rsidP="00970462">
      <w:pPr>
        <w:spacing w:line="276" w:lineRule="auto"/>
        <w:jc w:val="both"/>
        <w:rPr>
          <w:rFonts w:ascii="Times New Roman" w:hAnsi="Times New Roman"/>
          <w:sz w:val="22"/>
          <w:szCs w:val="22"/>
        </w:rPr>
      </w:pPr>
    </w:p>
    <w:p w14:paraId="4D0B6213" w14:textId="4DB5B2C5" w:rsidR="00BE5EF6" w:rsidRDefault="00BE5EF6" w:rsidP="00970462">
      <w:pPr>
        <w:spacing w:line="276" w:lineRule="auto"/>
        <w:jc w:val="both"/>
        <w:rPr>
          <w:rFonts w:ascii="Times New Roman" w:hAnsi="Times New Roman"/>
          <w:color w:val="FF0000"/>
          <w:sz w:val="22"/>
          <w:szCs w:val="22"/>
        </w:rPr>
      </w:pPr>
      <w:r w:rsidRPr="00970462">
        <w:rPr>
          <w:rFonts w:ascii="Times New Roman" w:hAnsi="Times New Roman"/>
          <w:sz w:val="22"/>
          <w:szCs w:val="22"/>
        </w:rPr>
        <w:t xml:space="preserve">Ainsi, pour pallier à cette faiblesse, l’enquête se propose pour cette année 2023, de sélectionner trois (3) structures de santé pour </w:t>
      </w:r>
      <w:r w:rsidR="00111877" w:rsidRPr="00BE5EF6">
        <w:rPr>
          <w:rFonts w:ascii="Times New Roman" w:hAnsi="Times New Roman"/>
          <w:sz w:val="22"/>
          <w:szCs w:val="22"/>
        </w:rPr>
        <w:t>certains districts sanitaires</w:t>
      </w:r>
      <w:r w:rsidRPr="00970462">
        <w:rPr>
          <w:rFonts w:ascii="Times New Roman" w:hAnsi="Times New Roman"/>
          <w:sz w:val="22"/>
          <w:szCs w:val="22"/>
        </w:rPr>
        <w:t xml:space="preserve"> à grande fréquentation et deux (2) sites pour d’autres districts sanitaires (38 districts sanitaires) soit un total de 76 structures de santé incluant les 43 sites qui ont participé à l’étude de 2020 et ceci afin de réduire les limites constatées en termes de représentativité des sites des enquêtes précédentes</w:t>
      </w:r>
      <w:r w:rsidRPr="00970462">
        <w:rPr>
          <w:rFonts w:ascii="Times New Roman" w:hAnsi="Times New Roman"/>
          <w:color w:val="FF0000"/>
          <w:sz w:val="22"/>
          <w:szCs w:val="22"/>
        </w:rPr>
        <w:t xml:space="preserve">. </w:t>
      </w:r>
    </w:p>
    <w:p w14:paraId="7CE8B7A4" w14:textId="77777777" w:rsidR="00111877" w:rsidRPr="00970462" w:rsidRDefault="00111877" w:rsidP="00970462">
      <w:pPr>
        <w:spacing w:line="276" w:lineRule="auto"/>
        <w:jc w:val="both"/>
        <w:rPr>
          <w:rFonts w:ascii="Times New Roman" w:hAnsi="Times New Roman"/>
          <w:color w:val="FF0000"/>
          <w:sz w:val="22"/>
          <w:szCs w:val="22"/>
        </w:rPr>
      </w:pPr>
    </w:p>
    <w:p w14:paraId="455A703B" w14:textId="4DC4BEDB" w:rsidR="00111877" w:rsidRPr="00970462" w:rsidRDefault="00BE5EF6" w:rsidP="00970462">
      <w:pPr>
        <w:tabs>
          <w:tab w:val="num" w:pos="1364"/>
        </w:tabs>
        <w:spacing w:line="276" w:lineRule="auto"/>
        <w:jc w:val="both"/>
        <w:rPr>
          <w:rFonts w:ascii="Arial" w:hAnsi="Arial" w:cs="Arial"/>
          <w:b/>
          <w:highlight w:val="yellow"/>
        </w:rPr>
      </w:pPr>
      <w:r w:rsidRPr="00970462">
        <w:rPr>
          <w:rFonts w:ascii="Times New Roman" w:hAnsi="Times New Roman"/>
          <w:sz w:val="22"/>
          <w:szCs w:val="22"/>
        </w:rPr>
        <w:t xml:space="preserve">Pour conduire cette enquête au titre de l’année 2023, </w:t>
      </w:r>
      <w:r w:rsidR="00111877">
        <w:rPr>
          <w:rFonts w:ascii="Times New Roman" w:hAnsi="Times New Roman"/>
          <w:sz w:val="22"/>
          <w:szCs w:val="22"/>
        </w:rPr>
        <w:t>le présent avis à manifestation d’intérêt est lancé</w:t>
      </w:r>
      <w:r w:rsidRPr="00970462">
        <w:rPr>
          <w:rFonts w:ascii="Times New Roman" w:hAnsi="Times New Roman"/>
          <w:sz w:val="22"/>
          <w:szCs w:val="22"/>
        </w:rPr>
        <w:t xml:space="preserve"> pour recruter un consultant national qui appuiera le PNLSH dans la réalisation de l’</w:t>
      </w:r>
      <w:r w:rsidR="00111877" w:rsidRPr="00970462">
        <w:rPr>
          <w:rFonts w:ascii="Times New Roman" w:hAnsi="Times New Roman"/>
          <w:sz w:val="22"/>
          <w:szCs w:val="22"/>
        </w:rPr>
        <w:t>enquête</w:t>
      </w:r>
      <w:r w:rsidR="00111877" w:rsidRPr="00970462">
        <w:rPr>
          <w:rFonts w:ascii="Times New Roman" w:hAnsi="Times New Roman"/>
          <w:b/>
          <w:sz w:val="22"/>
          <w:szCs w:val="22"/>
        </w:rPr>
        <w:t>.</w:t>
      </w:r>
      <w:r w:rsidR="00111877" w:rsidRPr="00970462">
        <w:rPr>
          <w:rFonts w:ascii="Arial" w:hAnsi="Arial" w:cs="Arial"/>
          <w:b/>
        </w:rPr>
        <w:t xml:space="preserve"> </w:t>
      </w:r>
    </w:p>
    <w:p w14:paraId="48BE5775" w14:textId="00292419" w:rsidR="00BE5EF6" w:rsidRPr="00970462" w:rsidRDefault="00BE5EF6" w:rsidP="00970462">
      <w:pPr>
        <w:spacing w:line="276" w:lineRule="auto"/>
        <w:jc w:val="both"/>
        <w:rPr>
          <w:rFonts w:ascii="Times New Roman" w:hAnsi="Times New Roman"/>
          <w:sz w:val="10"/>
          <w:szCs w:val="22"/>
        </w:rPr>
      </w:pPr>
    </w:p>
    <w:p w14:paraId="278A3C3E" w14:textId="30B8D8D4" w:rsidR="00285720" w:rsidRDefault="0015577A" w:rsidP="00C22E9B">
      <w:pPr>
        <w:tabs>
          <w:tab w:val="num" w:pos="720"/>
        </w:tabs>
        <w:spacing w:before="120"/>
        <w:jc w:val="both"/>
        <w:rPr>
          <w:rFonts w:ascii="Times New Roman" w:hAnsi="Times New Roman"/>
          <w:sz w:val="22"/>
          <w:szCs w:val="22"/>
        </w:rPr>
      </w:pPr>
      <w:r w:rsidRPr="006C7E7D">
        <w:rPr>
          <w:rFonts w:ascii="Times New Roman" w:hAnsi="Times New Roman"/>
          <w:sz w:val="22"/>
          <w:szCs w:val="22"/>
        </w:rPr>
        <w:t xml:space="preserve">La participation à la concurrence est ouverte à égalité de conditions à tous les consultants individuels de qualification et expertise suffisantes exigées par type de consultance. </w:t>
      </w:r>
    </w:p>
    <w:p w14:paraId="5E290BE4" w14:textId="03633F7C" w:rsidR="0015577A" w:rsidRPr="00E42993" w:rsidRDefault="0015577A" w:rsidP="00871AA4">
      <w:pPr>
        <w:tabs>
          <w:tab w:val="num" w:pos="720"/>
        </w:tabs>
        <w:spacing w:before="120"/>
        <w:jc w:val="both"/>
        <w:rPr>
          <w:rFonts w:ascii="Times New Roman" w:hAnsi="Times New Roman"/>
          <w:sz w:val="22"/>
          <w:szCs w:val="22"/>
        </w:rPr>
      </w:pPr>
      <w:r w:rsidRPr="006C7E7D">
        <w:rPr>
          <w:rFonts w:ascii="Times New Roman" w:hAnsi="Times New Roman"/>
          <w:sz w:val="22"/>
          <w:szCs w:val="22"/>
        </w:rPr>
        <w:t xml:space="preserve">Les candidats intéressés sont invités à manifester leur intérêt pour la prestation des services décrits dans les Termes de référence dont la copie est obtenue </w:t>
      </w:r>
      <w:r w:rsidRPr="00E42993">
        <w:rPr>
          <w:rFonts w:ascii="Times New Roman" w:hAnsi="Times New Roman"/>
          <w:sz w:val="22"/>
          <w:szCs w:val="22"/>
        </w:rPr>
        <w:t xml:space="preserve">sur demande envoyée à l’adresse électronique suivant :  </w:t>
      </w:r>
      <w:hyperlink r:id="rId9" w:history="1">
        <w:r w:rsidRPr="00E42993">
          <w:rPr>
            <w:rStyle w:val="Lienhypertexte"/>
            <w:rFonts w:ascii="Times New Roman" w:hAnsi="Times New Roman"/>
            <w:sz w:val="22"/>
            <w:szCs w:val="22"/>
          </w:rPr>
          <w:t>tenders.uagcp@gmail.com</w:t>
        </w:r>
      </w:hyperlink>
      <w:r w:rsidRPr="00E42993">
        <w:rPr>
          <w:rStyle w:val="Lienhypertexte"/>
          <w:rFonts w:ascii="Times New Roman" w:hAnsi="Times New Roman"/>
          <w:sz w:val="22"/>
          <w:szCs w:val="22"/>
          <w:u w:val="none"/>
        </w:rPr>
        <w:t xml:space="preserve">   </w:t>
      </w:r>
      <w:r w:rsidRPr="00E42993">
        <w:rPr>
          <w:rStyle w:val="Lienhypertexte"/>
          <w:rFonts w:ascii="Times New Roman" w:hAnsi="Times New Roman"/>
          <w:color w:val="auto"/>
          <w:sz w:val="22"/>
          <w:szCs w:val="22"/>
        </w:rPr>
        <w:t xml:space="preserve">avec précision sur la(les) consultance(s). </w:t>
      </w:r>
      <w:r w:rsidRPr="00E42993">
        <w:rPr>
          <w:rFonts w:ascii="Times New Roman" w:hAnsi="Times New Roman"/>
          <w:sz w:val="22"/>
          <w:szCs w:val="22"/>
        </w:rPr>
        <w:t xml:space="preserve"> </w:t>
      </w:r>
    </w:p>
    <w:p w14:paraId="6227BBDE" w14:textId="617D3897" w:rsidR="00BE150F" w:rsidRPr="006C7E7D" w:rsidRDefault="00BE150F" w:rsidP="00BE150F">
      <w:pPr>
        <w:tabs>
          <w:tab w:val="num" w:pos="720"/>
        </w:tabs>
        <w:spacing w:before="240"/>
        <w:jc w:val="both"/>
        <w:rPr>
          <w:rFonts w:ascii="Times New Roman" w:hAnsi="Times New Roman"/>
          <w:sz w:val="22"/>
          <w:szCs w:val="22"/>
        </w:rPr>
      </w:pPr>
      <w:r w:rsidRPr="006C7E7D">
        <w:rPr>
          <w:rFonts w:ascii="Times New Roman" w:hAnsi="Times New Roman"/>
          <w:sz w:val="22"/>
          <w:szCs w:val="22"/>
        </w:rPr>
        <w:t xml:space="preserve">Il est demandé aux candidats de fournir les informations indiquant qu’ils sont qualifiés pour exécuter les services décrits, dans leurs dossiers de manifestation d’intérêt préparés et présentés </w:t>
      </w:r>
      <w:r w:rsidR="00BE7869">
        <w:rPr>
          <w:rFonts w:ascii="Times New Roman" w:hAnsi="Times New Roman"/>
          <w:sz w:val="22"/>
          <w:szCs w:val="22"/>
        </w:rPr>
        <w:t xml:space="preserve">séparément </w:t>
      </w:r>
      <w:r w:rsidRPr="006C7E7D">
        <w:rPr>
          <w:rFonts w:ascii="Times New Roman" w:hAnsi="Times New Roman"/>
          <w:sz w:val="22"/>
          <w:szCs w:val="22"/>
        </w:rPr>
        <w:t>comme suit :</w:t>
      </w:r>
    </w:p>
    <w:p w14:paraId="295F1A01" w14:textId="77777777" w:rsidR="00BE150F" w:rsidRPr="006C7E7D" w:rsidRDefault="00BE150F" w:rsidP="00BE150F">
      <w:pPr>
        <w:numPr>
          <w:ilvl w:val="0"/>
          <w:numId w:val="2"/>
        </w:numPr>
        <w:tabs>
          <w:tab w:val="num" w:pos="720"/>
        </w:tabs>
        <w:spacing w:before="120"/>
        <w:ind w:left="714" w:hanging="357"/>
        <w:jc w:val="both"/>
        <w:rPr>
          <w:rFonts w:ascii="Times New Roman" w:hAnsi="Times New Roman"/>
          <w:sz w:val="22"/>
          <w:szCs w:val="22"/>
          <w:lang w:val="fr-CA"/>
        </w:rPr>
      </w:pPr>
      <w:r w:rsidRPr="006C7E7D">
        <w:rPr>
          <w:rFonts w:ascii="Times New Roman" w:hAnsi="Times New Roman"/>
          <w:b/>
          <w:sz w:val="22"/>
          <w:szCs w:val="22"/>
          <w:u w:val="single"/>
        </w:rPr>
        <w:t>Proposition technique :</w:t>
      </w:r>
      <w:r w:rsidRPr="006C7E7D">
        <w:rPr>
          <w:rFonts w:ascii="Times New Roman" w:hAnsi="Times New Roman"/>
          <w:sz w:val="22"/>
          <w:szCs w:val="22"/>
        </w:rPr>
        <w:t xml:space="preserve"> comprenant la lettre de motivation/note explicative, </w:t>
      </w:r>
      <w:r w:rsidRPr="006C7E7D">
        <w:rPr>
          <w:rFonts w:ascii="Times New Roman" w:hAnsi="Times New Roman"/>
          <w:sz w:val="22"/>
          <w:szCs w:val="22"/>
          <w:lang w:val="fr-CA"/>
        </w:rPr>
        <w:t xml:space="preserve">l’approche méthodologique détaillée, le plan du travail et chronogramme détaillés, le CV bien détaillé et actualisé </w:t>
      </w:r>
      <w:bookmarkStart w:id="3" w:name="_Hlk82781144"/>
      <w:r w:rsidRPr="006C7E7D">
        <w:rPr>
          <w:rFonts w:ascii="Times New Roman" w:hAnsi="Times New Roman"/>
          <w:sz w:val="22"/>
          <w:szCs w:val="22"/>
          <w:lang w:val="fr-CA"/>
        </w:rPr>
        <w:t xml:space="preserve">décrivant au mieux l’expertise du consultant avec les copies des diplômes et certificats professionnels, ainsi que les références similaires avec attestations de service rendus, satisfecit et/ou recommandations. </w:t>
      </w:r>
      <w:bookmarkEnd w:id="3"/>
    </w:p>
    <w:p w14:paraId="4075507C" w14:textId="77777777" w:rsidR="00BE150F" w:rsidRPr="006C7E7D" w:rsidRDefault="00BE150F" w:rsidP="00BE150F">
      <w:pPr>
        <w:numPr>
          <w:ilvl w:val="0"/>
          <w:numId w:val="2"/>
        </w:numPr>
        <w:tabs>
          <w:tab w:val="num" w:pos="720"/>
        </w:tabs>
        <w:spacing w:before="120"/>
        <w:ind w:left="714" w:hanging="357"/>
        <w:jc w:val="both"/>
        <w:rPr>
          <w:rFonts w:ascii="Times New Roman" w:hAnsi="Times New Roman"/>
          <w:sz w:val="22"/>
          <w:szCs w:val="22"/>
        </w:rPr>
      </w:pPr>
      <w:r w:rsidRPr="006C7E7D">
        <w:rPr>
          <w:rFonts w:ascii="Times New Roman" w:hAnsi="Times New Roman"/>
          <w:b/>
          <w:sz w:val="22"/>
          <w:szCs w:val="22"/>
          <w:u w:val="single"/>
          <w:lang w:val="fr-CA"/>
        </w:rPr>
        <w:lastRenderedPageBreak/>
        <w:t>Proposition</w:t>
      </w:r>
      <w:r w:rsidRPr="006C7E7D">
        <w:rPr>
          <w:rFonts w:ascii="Times New Roman" w:hAnsi="Times New Roman"/>
          <w:b/>
          <w:sz w:val="22"/>
          <w:szCs w:val="22"/>
          <w:u w:val="single"/>
        </w:rPr>
        <w:t xml:space="preserve"> financière </w:t>
      </w:r>
      <w:r w:rsidRPr="006C7E7D">
        <w:rPr>
          <w:rFonts w:ascii="Times New Roman" w:hAnsi="Times New Roman"/>
          <w:sz w:val="22"/>
          <w:szCs w:val="22"/>
        </w:rPr>
        <w:t xml:space="preserve">: incluant tous </w:t>
      </w:r>
      <w:bookmarkStart w:id="4" w:name="_Hlk82781605"/>
      <w:r w:rsidRPr="006C7E7D">
        <w:rPr>
          <w:rFonts w:ascii="Times New Roman" w:hAnsi="Times New Roman"/>
          <w:sz w:val="22"/>
          <w:szCs w:val="22"/>
        </w:rPr>
        <w:t xml:space="preserve">les coûts afférents à la mission comprenant les honoraires et </w:t>
      </w:r>
      <w:r w:rsidRPr="006C7E7D">
        <w:rPr>
          <w:rFonts w:ascii="Times New Roman" w:hAnsi="Times New Roman"/>
          <w:bCs w:val="0"/>
          <w:sz w:val="22"/>
          <w:szCs w:val="22"/>
        </w:rPr>
        <w:t>éventuellement les autres coûts remboursables nécessaires. A noter que la proposition fi</w:t>
      </w:r>
      <w:r w:rsidRPr="006C7E7D">
        <w:rPr>
          <w:rFonts w:ascii="Times New Roman" w:hAnsi="Times New Roman"/>
          <w:sz w:val="22"/>
          <w:szCs w:val="22"/>
        </w:rPr>
        <w:t xml:space="preserve">nancière doit être libellée hors TVA car le projet est exonéré de la TVA et que le Consultant sera assujetti à la fiscalité applicable en République de Guinée.  </w:t>
      </w:r>
    </w:p>
    <w:bookmarkEnd w:id="4"/>
    <w:p w14:paraId="112A921B" w14:textId="77777777" w:rsidR="00867A34" w:rsidRDefault="00867A34" w:rsidP="00867A34">
      <w:pPr>
        <w:tabs>
          <w:tab w:val="num" w:pos="720"/>
        </w:tabs>
        <w:jc w:val="both"/>
        <w:rPr>
          <w:rFonts w:ascii="Times New Roman" w:hAnsi="Times New Roman"/>
          <w:bCs w:val="0"/>
          <w:sz w:val="22"/>
          <w:szCs w:val="22"/>
        </w:rPr>
      </w:pPr>
    </w:p>
    <w:p w14:paraId="1C57B578" w14:textId="78B349FE" w:rsidR="00867A34" w:rsidRPr="00867A34" w:rsidRDefault="00867A34" w:rsidP="00867A34">
      <w:pPr>
        <w:tabs>
          <w:tab w:val="num" w:pos="720"/>
        </w:tabs>
        <w:jc w:val="both"/>
        <w:rPr>
          <w:rFonts w:ascii="Times New Roman" w:hAnsi="Times New Roman"/>
          <w:bCs w:val="0"/>
          <w:sz w:val="22"/>
          <w:szCs w:val="22"/>
        </w:rPr>
      </w:pPr>
      <w:r w:rsidRPr="00867A34">
        <w:rPr>
          <w:rFonts w:ascii="Times New Roman" w:hAnsi="Times New Roman"/>
          <w:bCs w:val="0"/>
          <w:sz w:val="22"/>
          <w:szCs w:val="22"/>
        </w:rPr>
        <w:t xml:space="preserve">Le candidat sera sélectionné </w:t>
      </w:r>
      <w:bookmarkStart w:id="5" w:name="_Hlk69233516"/>
      <w:r w:rsidRPr="00867A34">
        <w:rPr>
          <w:rFonts w:ascii="Times New Roman" w:hAnsi="Times New Roman"/>
          <w:bCs w:val="0"/>
          <w:sz w:val="22"/>
          <w:szCs w:val="22"/>
        </w:rPr>
        <w:t xml:space="preserve">basé sur la qualification du consultant (voir paragraphe 7 des </w:t>
      </w:r>
      <w:proofErr w:type="spellStart"/>
      <w:r w:rsidRPr="00867A34">
        <w:rPr>
          <w:rFonts w:ascii="Times New Roman" w:hAnsi="Times New Roman"/>
          <w:bCs w:val="0"/>
          <w:sz w:val="22"/>
          <w:szCs w:val="22"/>
        </w:rPr>
        <w:t>TdRs</w:t>
      </w:r>
      <w:proofErr w:type="spellEnd"/>
      <w:r w:rsidRPr="00867A34">
        <w:rPr>
          <w:rFonts w:ascii="Times New Roman" w:hAnsi="Times New Roman"/>
          <w:bCs w:val="0"/>
          <w:sz w:val="22"/>
          <w:szCs w:val="22"/>
        </w:rPr>
        <w:t xml:space="preserve">).  </w:t>
      </w:r>
      <w:bookmarkEnd w:id="5"/>
    </w:p>
    <w:p w14:paraId="0874BEC5" w14:textId="77777777" w:rsidR="0015577A" w:rsidRPr="006C7E7D" w:rsidRDefault="0015577A" w:rsidP="0015577A">
      <w:pPr>
        <w:tabs>
          <w:tab w:val="num" w:pos="720"/>
        </w:tabs>
        <w:jc w:val="both"/>
        <w:rPr>
          <w:rFonts w:ascii="Times New Roman" w:hAnsi="Times New Roman"/>
          <w:bCs w:val="0"/>
          <w:sz w:val="22"/>
          <w:szCs w:val="22"/>
        </w:rPr>
      </w:pPr>
    </w:p>
    <w:p w14:paraId="01C736F4" w14:textId="06F83528" w:rsidR="0015577A" w:rsidRDefault="0015577A" w:rsidP="0015577A">
      <w:pPr>
        <w:tabs>
          <w:tab w:val="num" w:pos="720"/>
        </w:tabs>
        <w:jc w:val="both"/>
        <w:rPr>
          <w:rFonts w:ascii="Times New Roman" w:hAnsi="Times New Roman"/>
          <w:b/>
          <w:bCs w:val="0"/>
          <w:sz w:val="22"/>
          <w:szCs w:val="22"/>
        </w:rPr>
      </w:pPr>
      <w:r w:rsidRPr="006C7E7D">
        <w:rPr>
          <w:rFonts w:ascii="Times New Roman" w:hAnsi="Times New Roman"/>
          <w:bCs w:val="0"/>
          <w:sz w:val="22"/>
          <w:szCs w:val="22"/>
        </w:rPr>
        <w:t xml:space="preserve">Les propositions établies en langue française en deux exemplaires dont un (1) original et une (1) copie doivent être </w:t>
      </w:r>
      <w:bookmarkStart w:id="6" w:name="_Hlk529875144"/>
      <w:r w:rsidRPr="006C7E7D">
        <w:rPr>
          <w:rFonts w:ascii="Times New Roman" w:hAnsi="Times New Roman"/>
          <w:bCs w:val="0"/>
          <w:sz w:val="22"/>
          <w:szCs w:val="22"/>
        </w:rPr>
        <w:t xml:space="preserve">déposées </w:t>
      </w:r>
      <w:r w:rsidRPr="006C7E7D">
        <w:rPr>
          <w:rFonts w:ascii="Times New Roman" w:hAnsi="Times New Roman"/>
          <w:b/>
          <w:bCs w:val="0"/>
          <w:iCs/>
          <w:sz w:val="22"/>
          <w:szCs w:val="22"/>
        </w:rPr>
        <w:t>auprès du Service de Passation des marchés de l’UAGCP sis au 3</w:t>
      </w:r>
      <w:r w:rsidRPr="006C7E7D">
        <w:rPr>
          <w:rFonts w:ascii="Times New Roman" w:hAnsi="Times New Roman"/>
          <w:b/>
          <w:bCs w:val="0"/>
          <w:iCs/>
          <w:sz w:val="22"/>
          <w:szCs w:val="22"/>
          <w:vertAlign w:val="superscript"/>
        </w:rPr>
        <w:t>ème</w:t>
      </w:r>
      <w:r w:rsidRPr="006C7E7D">
        <w:rPr>
          <w:rFonts w:ascii="Times New Roman" w:hAnsi="Times New Roman"/>
          <w:b/>
          <w:bCs w:val="0"/>
          <w:iCs/>
          <w:sz w:val="22"/>
          <w:szCs w:val="22"/>
        </w:rPr>
        <w:t xml:space="preserve"> étage de l’immeuble Palm Résidence Camayenne, corniche nord de Dixinn, à côté de la clinique Ambroise Paré</w:t>
      </w:r>
      <w:r w:rsidRPr="006C7E7D">
        <w:rPr>
          <w:rFonts w:ascii="Times New Roman" w:hAnsi="Times New Roman"/>
          <w:bCs w:val="0"/>
          <w:sz w:val="22"/>
          <w:szCs w:val="22"/>
        </w:rPr>
        <w:t xml:space="preserve">, au plus tard le </w:t>
      </w:r>
      <w:r w:rsidR="004E1244">
        <w:rPr>
          <w:rFonts w:ascii="Times New Roman" w:hAnsi="Times New Roman"/>
          <w:b/>
          <w:color w:val="FF0000"/>
          <w:u w:val="single"/>
        </w:rPr>
        <w:t>Mardi</w:t>
      </w:r>
      <w:r w:rsidRPr="005A1845">
        <w:rPr>
          <w:rFonts w:ascii="Times New Roman" w:hAnsi="Times New Roman"/>
          <w:b/>
          <w:color w:val="FF0000"/>
          <w:u w:val="single"/>
        </w:rPr>
        <w:t xml:space="preserve"> </w:t>
      </w:r>
      <w:r w:rsidR="004E1244">
        <w:rPr>
          <w:rFonts w:ascii="Times New Roman" w:hAnsi="Times New Roman"/>
          <w:b/>
          <w:color w:val="FF0000"/>
          <w:u w:val="single"/>
        </w:rPr>
        <w:t>14</w:t>
      </w:r>
      <w:r w:rsidRPr="005A1845">
        <w:rPr>
          <w:rFonts w:ascii="Times New Roman" w:hAnsi="Times New Roman"/>
          <w:b/>
          <w:color w:val="FF0000"/>
          <w:u w:val="single"/>
        </w:rPr>
        <w:t>/</w:t>
      </w:r>
      <w:r w:rsidR="004E1244">
        <w:rPr>
          <w:rFonts w:ascii="Times New Roman" w:hAnsi="Times New Roman"/>
          <w:b/>
          <w:color w:val="FF0000"/>
          <w:u w:val="single"/>
        </w:rPr>
        <w:t>11</w:t>
      </w:r>
      <w:r w:rsidRPr="005A1845">
        <w:rPr>
          <w:rFonts w:ascii="Times New Roman" w:hAnsi="Times New Roman"/>
          <w:b/>
          <w:color w:val="FF0000"/>
          <w:u w:val="single"/>
        </w:rPr>
        <w:t>/2023</w:t>
      </w:r>
      <w:r w:rsidRPr="005A1845">
        <w:rPr>
          <w:rFonts w:ascii="Times New Roman" w:hAnsi="Times New Roman"/>
          <w:b/>
          <w:bCs w:val="0"/>
          <w:color w:val="FF0000"/>
        </w:rPr>
        <w:t xml:space="preserve"> </w:t>
      </w:r>
      <w:r w:rsidRPr="006C7E7D">
        <w:rPr>
          <w:rFonts w:ascii="Times New Roman" w:hAnsi="Times New Roman"/>
          <w:b/>
          <w:bCs w:val="0"/>
          <w:sz w:val="22"/>
          <w:szCs w:val="22"/>
        </w:rPr>
        <w:t>à 11H00 précises, heure locale</w:t>
      </w:r>
      <w:bookmarkEnd w:id="6"/>
      <w:r w:rsidRPr="006C7E7D">
        <w:rPr>
          <w:rFonts w:ascii="Times New Roman" w:hAnsi="Times New Roman"/>
          <w:b/>
          <w:bCs w:val="0"/>
          <w:sz w:val="22"/>
          <w:szCs w:val="22"/>
        </w:rPr>
        <w:t>.</w:t>
      </w:r>
    </w:p>
    <w:p w14:paraId="497B295F" w14:textId="77777777" w:rsidR="00BE7869" w:rsidRPr="006C7E7D" w:rsidRDefault="00BE7869" w:rsidP="0015577A">
      <w:pPr>
        <w:tabs>
          <w:tab w:val="num" w:pos="720"/>
        </w:tabs>
        <w:jc w:val="both"/>
        <w:rPr>
          <w:rFonts w:ascii="Times New Roman" w:hAnsi="Times New Roman"/>
          <w:b/>
          <w:bCs w:val="0"/>
          <w:sz w:val="22"/>
          <w:szCs w:val="22"/>
        </w:rPr>
      </w:pPr>
    </w:p>
    <w:p w14:paraId="5293E8A2" w14:textId="3CB9F3D4" w:rsidR="0015577A" w:rsidRPr="008B3393" w:rsidRDefault="00BE7869" w:rsidP="0015577A">
      <w:pPr>
        <w:tabs>
          <w:tab w:val="num" w:pos="720"/>
        </w:tabs>
        <w:jc w:val="both"/>
        <w:rPr>
          <w:rFonts w:ascii="Times New Roman" w:hAnsi="Times New Roman"/>
          <w:sz w:val="22"/>
          <w:szCs w:val="22"/>
        </w:rPr>
      </w:pPr>
      <w:r w:rsidRPr="008B3393">
        <w:rPr>
          <w:rFonts w:ascii="Times New Roman" w:hAnsi="Times New Roman"/>
          <w:sz w:val="22"/>
          <w:szCs w:val="22"/>
        </w:rPr>
        <w:t xml:space="preserve">Pour toutes </w:t>
      </w:r>
      <w:r w:rsidR="008B3393" w:rsidRPr="008B3393">
        <w:rPr>
          <w:rFonts w:ascii="Times New Roman" w:hAnsi="Times New Roman"/>
          <w:sz w:val="22"/>
          <w:szCs w:val="22"/>
        </w:rPr>
        <w:t>informations techniques</w:t>
      </w:r>
      <w:r w:rsidRPr="008B3393">
        <w:rPr>
          <w:rFonts w:ascii="Times New Roman" w:hAnsi="Times New Roman"/>
          <w:sz w:val="22"/>
          <w:szCs w:val="22"/>
        </w:rPr>
        <w:t xml:space="preserve">, veuillez adresser un courriel à l’adresse : </w:t>
      </w:r>
      <w:hyperlink r:id="rId10" w:history="1">
        <w:r w:rsidRPr="006C7E7D">
          <w:rPr>
            <w:rStyle w:val="Lienhypertexte"/>
            <w:rFonts w:ascii="Times New Roman" w:hAnsi="Times New Roman"/>
            <w:sz w:val="22"/>
            <w:szCs w:val="22"/>
          </w:rPr>
          <w:t>tenders.uagcp@gmail.com</w:t>
        </w:r>
      </w:hyperlink>
      <w:r w:rsidRPr="008B3393">
        <w:rPr>
          <w:rFonts w:ascii="Times New Roman" w:hAnsi="Times New Roman"/>
          <w:sz w:val="22"/>
          <w:szCs w:val="22"/>
        </w:rPr>
        <w:t> </w:t>
      </w:r>
      <w:r>
        <w:rPr>
          <w:rFonts w:ascii="Times New Roman" w:hAnsi="Times New Roman"/>
          <w:sz w:val="22"/>
          <w:szCs w:val="22"/>
        </w:rPr>
        <w:t>du lundi au vendredi</w:t>
      </w:r>
      <w:r w:rsidRPr="008B3393">
        <w:rPr>
          <w:rFonts w:ascii="Times New Roman" w:hAnsi="Times New Roman"/>
          <w:sz w:val="22"/>
          <w:szCs w:val="22"/>
        </w:rPr>
        <w:t xml:space="preserve"> de 9h à 17h</w:t>
      </w:r>
      <w:r>
        <w:rPr>
          <w:rFonts w:ascii="Times New Roman" w:hAnsi="Times New Roman"/>
          <w:sz w:val="22"/>
          <w:szCs w:val="22"/>
        </w:rPr>
        <w:t>.</w:t>
      </w:r>
    </w:p>
    <w:p w14:paraId="62548E0D" w14:textId="77777777" w:rsidR="00BE7869" w:rsidRPr="006C7E7D" w:rsidRDefault="00BE7869" w:rsidP="0015577A">
      <w:pPr>
        <w:tabs>
          <w:tab w:val="num" w:pos="720"/>
        </w:tabs>
        <w:jc w:val="both"/>
        <w:rPr>
          <w:rFonts w:ascii="Times New Roman" w:hAnsi="Times New Roman"/>
          <w:b/>
          <w:bCs w:val="0"/>
          <w:sz w:val="22"/>
          <w:szCs w:val="22"/>
        </w:rPr>
      </w:pPr>
    </w:p>
    <w:p w14:paraId="34532655" w14:textId="1B4DE499" w:rsidR="0015577A" w:rsidRPr="006C7E7D" w:rsidRDefault="00BE150F" w:rsidP="0015577A">
      <w:pPr>
        <w:pStyle w:val="Header3-Paragraph"/>
        <w:tabs>
          <w:tab w:val="clear" w:pos="504"/>
          <w:tab w:val="left" w:pos="0"/>
        </w:tabs>
        <w:overflowPunct/>
        <w:autoSpaceDE/>
        <w:autoSpaceDN/>
        <w:adjustRightInd/>
        <w:spacing w:after="0"/>
        <w:ind w:left="0" w:firstLine="0"/>
        <w:textAlignment w:val="auto"/>
        <w:rPr>
          <w:rFonts w:cs="Times New Roman"/>
          <w:b/>
          <w:bCs/>
          <w:color w:val="FF0000"/>
          <w:sz w:val="22"/>
          <w:szCs w:val="22"/>
          <w:lang w:val="fr-FR"/>
        </w:rPr>
      </w:pPr>
      <w:r w:rsidRPr="006C7E7D">
        <w:rPr>
          <w:rFonts w:cs="Times New Roman"/>
          <w:b/>
          <w:bCs/>
          <w:color w:val="FF0000"/>
          <w:sz w:val="22"/>
          <w:szCs w:val="22"/>
          <w:lang w:val="fr-FR"/>
        </w:rPr>
        <w:t>NB : La</w:t>
      </w:r>
      <w:r w:rsidR="0015577A" w:rsidRPr="006C7E7D">
        <w:rPr>
          <w:rFonts w:cs="Times New Roman"/>
          <w:b/>
          <w:bCs/>
          <w:color w:val="FF0000"/>
          <w:sz w:val="22"/>
          <w:szCs w:val="22"/>
          <w:lang w:val="fr-FR"/>
        </w:rPr>
        <w:t xml:space="preserve"> proposition financière </w:t>
      </w:r>
      <w:r w:rsidRPr="006C7E7D">
        <w:rPr>
          <w:rFonts w:cs="Times New Roman"/>
          <w:b/>
          <w:bCs/>
          <w:color w:val="FF0000"/>
          <w:sz w:val="22"/>
          <w:szCs w:val="22"/>
          <w:lang w:val="fr-FR"/>
        </w:rPr>
        <w:t xml:space="preserve">doit être </w:t>
      </w:r>
      <w:r w:rsidR="0015577A" w:rsidRPr="006C7E7D">
        <w:rPr>
          <w:rFonts w:cs="Times New Roman"/>
          <w:b/>
          <w:bCs/>
          <w:color w:val="FF0000"/>
          <w:sz w:val="22"/>
          <w:szCs w:val="22"/>
          <w:lang w:val="fr-FR"/>
        </w:rPr>
        <w:t>présentée dans une enveloppe séparée</w:t>
      </w:r>
      <w:r w:rsidRPr="006C7E7D">
        <w:rPr>
          <w:rFonts w:cs="Times New Roman"/>
          <w:b/>
          <w:bCs/>
          <w:color w:val="FF0000"/>
          <w:sz w:val="22"/>
          <w:szCs w:val="22"/>
          <w:lang w:val="fr-FR"/>
        </w:rPr>
        <w:t xml:space="preserve"> de la proposition technique</w:t>
      </w:r>
      <w:r w:rsidR="0015577A" w:rsidRPr="006C7E7D">
        <w:rPr>
          <w:rFonts w:cs="Times New Roman"/>
          <w:b/>
          <w:bCs/>
          <w:color w:val="FF0000"/>
          <w:sz w:val="22"/>
          <w:szCs w:val="22"/>
          <w:lang w:val="fr-FR"/>
        </w:rPr>
        <w:t xml:space="preserve"> </w:t>
      </w:r>
      <w:r w:rsidR="001B2660" w:rsidRPr="006C7E7D">
        <w:rPr>
          <w:rFonts w:cs="Times New Roman"/>
          <w:b/>
          <w:bCs/>
          <w:color w:val="FF0000"/>
          <w:sz w:val="22"/>
          <w:szCs w:val="22"/>
          <w:lang w:val="fr-FR"/>
        </w:rPr>
        <w:t xml:space="preserve">et </w:t>
      </w:r>
      <w:r w:rsidR="0015577A" w:rsidRPr="006C7E7D">
        <w:rPr>
          <w:rFonts w:cs="Times New Roman"/>
          <w:b/>
          <w:bCs/>
          <w:color w:val="FF0000"/>
          <w:sz w:val="22"/>
          <w:szCs w:val="22"/>
          <w:lang w:val="fr-FR"/>
        </w:rPr>
        <w:t xml:space="preserve">portant </w:t>
      </w:r>
      <w:r w:rsidRPr="006C7E7D">
        <w:rPr>
          <w:rFonts w:cs="Times New Roman"/>
          <w:b/>
          <w:bCs/>
          <w:color w:val="FF0000"/>
          <w:sz w:val="22"/>
          <w:szCs w:val="22"/>
          <w:lang w:val="fr-FR"/>
        </w:rPr>
        <w:t>la mention proposition financière</w:t>
      </w:r>
      <w:r w:rsidR="002B289A">
        <w:rPr>
          <w:rFonts w:cs="Times New Roman"/>
          <w:b/>
          <w:bCs/>
          <w:color w:val="FF0000"/>
          <w:sz w:val="22"/>
          <w:szCs w:val="22"/>
          <w:lang w:val="fr-FR"/>
        </w:rPr>
        <w:t>, sous peine de rejet de l’offre</w:t>
      </w:r>
      <w:r w:rsidR="0015577A" w:rsidRPr="006C7E7D">
        <w:rPr>
          <w:rFonts w:cs="Times New Roman"/>
          <w:b/>
          <w:bCs/>
          <w:color w:val="FF0000"/>
          <w:sz w:val="22"/>
          <w:szCs w:val="22"/>
          <w:lang w:val="fr-FR"/>
        </w:rPr>
        <w:t>.</w:t>
      </w:r>
    </w:p>
    <w:p w14:paraId="74F25581" w14:textId="77777777" w:rsidR="0015577A" w:rsidRPr="006C7E7D" w:rsidRDefault="0015577A" w:rsidP="0015577A">
      <w:pPr>
        <w:tabs>
          <w:tab w:val="num" w:pos="720"/>
        </w:tabs>
        <w:spacing w:before="120"/>
        <w:jc w:val="both"/>
        <w:rPr>
          <w:rFonts w:ascii="Times New Roman" w:eastAsia="Calibri" w:hAnsi="Times New Roman"/>
          <w:sz w:val="22"/>
          <w:szCs w:val="22"/>
        </w:rPr>
      </w:pPr>
      <w:r w:rsidRPr="006C7E7D">
        <w:rPr>
          <w:rFonts w:ascii="Times New Roman" w:hAnsi="Times New Roman"/>
          <w:bCs w:val="0"/>
          <w:sz w:val="22"/>
          <w:szCs w:val="22"/>
        </w:rPr>
        <w:t xml:space="preserve">L’ouverture (à huit-clos) des propositions techniques aura lieu le même jour dans la salle de réunions de l’UAGCP à partir de </w:t>
      </w:r>
      <w:r w:rsidRPr="006C7E7D">
        <w:rPr>
          <w:rFonts w:ascii="Times New Roman" w:hAnsi="Times New Roman"/>
          <w:b/>
          <w:bCs w:val="0"/>
          <w:sz w:val="22"/>
          <w:szCs w:val="22"/>
        </w:rPr>
        <w:t>12h00</w:t>
      </w:r>
      <w:r w:rsidRPr="006C7E7D">
        <w:rPr>
          <w:rFonts w:ascii="Times New Roman" w:eastAsia="Calibri" w:hAnsi="Times New Roman"/>
          <w:sz w:val="22"/>
          <w:szCs w:val="22"/>
        </w:rPr>
        <w:t>.</w:t>
      </w:r>
    </w:p>
    <w:p w14:paraId="0FC732C6" w14:textId="77777777" w:rsidR="0015577A" w:rsidRPr="006C7E7D" w:rsidRDefault="0015577A" w:rsidP="0015577A">
      <w:pPr>
        <w:tabs>
          <w:tab w:val="num" w:pos="720"/>
        </w:tabs>
        <w:spacing w:before="120"/>
        <w:jc w:val="both"/>
        <w:rPr>
          <w:rFonts w:ascii="Times New Roman" w:eastAsia="Calibri" w:hAnsi="Times New Roman"/>
          <w:sz w:val="22"/>
          <w:szCs w:val="22"/>
        </w:rPr>
      </w:pPr>
    </w:p>
    <w:p w14:paraId="67F3819C" w14:textId="77777777" w:rsidR="0015577A" w:rsidRPr="006C7E7D" w:rsidRDefault="0015577A" w:rsidP="0015577A">
      <w:pPr>
        <w:tabs>
          <w:tab w:val="num" w:pos="720"/>
        </w:tabs>
        <w:jc w:val="both"/>
        <w:rPr>
          <w:rFonts w:ascii="Times New Roman" w:hAnsi="Times New Roman"/>
          <w:bCs w:val="0"/>
          <w:sz w:val="8"/>
        </w:rPr>
      </w:pPr>
    </w:p>
    <w:p w14:paraId="03C039E8" w14:textId="45DFDCAD" w:rsidR="0015577A" w:rsidRPr="006C7E7D" w:rsidRDefault="0015577A" w:rsidP="0015577A">
      <w:pPr>
        <w:tabs>
          <w:tab w:val="num" w:pos="720"/>
        </w:tabs>
        <w:spacing w:line="360" w:lineRule="auto"/>
        <w:ind w:left="5103"/>
        <w:jc w:val="center"/>
        <w:rPr>
          <w:rFonts w:ascii="Times New Roman" w:hAnsi="Times New Roman"/>
          <w:bCs w:val="0"/>
        </w:rPr>
      </w:pPr>
      <w:r w:rsidRPr="006C7E7D">
        <w:rPr>
          <w:rFonts w:ascii="Times New Roman" w:hAnsi="Times New Roman"/>
          <w:bCs w:val="0"/>
        </w:rPr>
        <w:t xml:space="preserve">Fait à Conakry, le </w:t>
      </w:r>
      <w:r w:rsidR="00B13E4F">
        <w:rPr>
          <w:rFonts w:ascii="Times New Roman" w:hAnsi="Times New Roman"/>
          <w:bCs w:val="0"/>
        </w:rPr>
        <w:t>26</w:t>
      </w:r>
      <w:r w:rsidRPr="006C7E7D">
        <w:rPr>
          <w:rFonts w:ascii="Times New Roman" w:hAnsi="Times New Roman"/>
          <w:bCs w:val="0"/>
        </w:rPr>
        <w:t>/</w:t>
      </w:r>
      <w:r w:rsidR="00B13E4F">
        <w:rPr>
          <w:rFonts w:ascii="Times New Roman" w:hAnsi="Times New Roman"/>
          <w:bCs w:val="0"/>
        </w:rPr>
        <w:t>10</w:t>
      </w:r>
      <w:r w:rsidRPr="006C7E7D">
        <w:rPr>
          <w:rFonts w:ascii="Times New Roman" w:hAnsi="Times New Roman"/>
          <w:bCs w:val="0"/>
        </w:rPr>
        <w:t>/2023</w:t>
      </w:r>
    </w:p>
    <w:p w14:paraId="007A32E8" w14:textId="77777777" w:rsidR="0015577A" w:rsidRPr="006C7E7D" w:rsidRDefault="0015577A" w:rsidP="0015577A">
      <w:pPr>
        <w:tabs>
          <w:tab w:val="num" w:pos="720"/>
        </w:tabs>
        <w:spacing w:line="360" w:lineRule="auto"/>
        <w:ind w:left="5103"/>
        <w:jc w:val="center"/>
        <w:rPr>
          <w:rFonts w:ascii="Times New Roman" w:hAnsi="Times New Roman"/>
          <w:bCs w:val="0"/>
        </w:rPr>
      </w:pPr>
    </w:p>
    <w:p w14:paraId="6AFF958B" w14:textId="77777777" w:rsidR="0015577A" w:rsidRPr="006C7E7D" w:rsidRDefault="0015577A" w:rsidP="0015577A">
      <w:pPr>
        <w:tabs>
          <w:tab w:val="num" w:pos="720"/>
        </w:tabs>
        <w:spacing w:line="360" w:lineRule="auto"/>
        <w:ind w:left="5103"/>
        <w:jc w:val="center"/>
        <w:rPr>
          <w:rFonts w:ascii="Times New Roman" w:hAnsi="Times New Roman"/>
          <w:bCs w:val="0"/>
        </w:rPr>
      </w:pPr>
      <w:r w:rsidRPr="006C7E7D">
        <w:rPr>
          <w:rFonts w:ascii="Times New Roman" w:hAnsi="Times New Roman"/>
          <w:bCs w:val="0"/>
        </w:rPr>
        <w:t>Pour l’Autorité contractante,</w:t>
      </w:r>
    </w:p>
    <w:p w14:paraId="55DF67A1" w14:textId="77777777" w:rsidR="0015577A" w:rsidRPr="006C7E7D" w:rsidRDefault="0015577A" w:rsidP="0015577A">
      <w:pPr>
        <w:tabs>
          <w:tab w:val="num" w:pos="0"/>
        </w:tabs>
        <w:spacing w:line="360" w:lineRule="auto"/>
        <w:ind w:left="5103"/>
        <w:jc w:val="center"/>
        <w:rPr>
          <w:rFonts w:ascii="Times New Roman" w:hAnsi="Times New Roman"/>
          <w:b/>
          <w:bCs w:val="0"/>
          <w:u w:val="single"/>
        </w:rPr>
      </w:pPr>
      <w:r w:rsidRPr="006C7E7D">
        <w:rPr>
          <w:rFonts w:ascii="Times New Roman" w:hAnsi="Times New Roman"/>
          <w:b/>
          <w:bCs w:val="0"/>
          <w:u w:val="single"/>
        </w:rPr>
        <w:t>Dr Timothée GUILAVOGUI</w:t>
      </w:r>
    </w:p>
    <w:p w14:paraId="76976F4A" w14:textId="77777777" w:rsidR="0015577A" w:rsidRPr="006C7E7D" w:rsidRDefault="0015577A" w:rsidP="0015577A">
      <w:pPr>
        <w:tabs>
          <w:tab w:val="num" w:pos="0"/>
        </w:tabs>
        <w:spacing w:line="360" w:lineRule="auto"/>
        <w:ind w:left="5103"/>
        <w:jc w:val="center"/>
        <w:rPr>
          <w:rFonts w:ascii="Times New Roman" w:hAnsi="Times New Roman"/>
          <w:bCs w:val="0"/>
          <w:sz w:val="22"/>
          <w:u w:val="single"/>
        </w:rPr>
      </w:pPr>
    </w:p>
    <w:p w14:paraId="3E80FDAA" w14:textId="57C58E9D" w:rsidR="001B07CC" w:rsidRPr="00445FF8" w:rsidRDefault="001B07CC" w:rsidP="008B3393">
      <w:pPr>
        <w:spacing w:after="120"/>
        <w:jc w:val="center"/>
        <w:rPr>
          <w:rFonts w:ascii="Times New Roman" w:hAnsi="Times New Roman"/>
        </w:rPr>
      </w:pPr>
    </w:p>
    <w:sectPr w:rsidR="001B07CC" w:rsidRPr="00445FF8" w:rsidSect="00493BE2">
      <w:headerReference w:type="even" r:id="rId11"/>
      <w:headerReference w:type="first" r:id="rId12"/>
      <w:pgSz w:w="12240" w:h="15840" w:code="1"/>
      <w:pgMar w:top="1440" w:right="1440" w:bottom="1135"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C9A1" w14:textId="77777777" w:rsidR="00F671F9" w:rsidRDefault="00F671F9" w:rsidP="001B2660">
      <w:r>
        <w:separator/>
      </w:r>
    </w:p>
  </w:endnote>
  <w:endnote w:type="continuationSeparator" w:id="0">
    <w:p w14:paraId="35935294" w14:textId="77777777" w:rsidR="00F671F9" w:rsidRDefault="00F671F9" w:rsidP="001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F4DC" w14:textId="77777777" w:rsidR="00F671F9" w:rsidRDefault="00F671F9" w:rsidP="001B2660">
      <w:r>
        <w:separator/>
      </w:r>
    </w:p>
  </w:footnote>
  <w:footnote w:type="continuationSeparator" w:id="0">
    <w:p w14:paraId="371142DD" w14:textId="77777777" w:rsidR="00F671F9" w:rsidRDefault="00F671F9" w:rsidP="001B2660">
      <w:r>
        <w:continuationSeparator/>
      </w:r>
    </w:p>
  </w:footnote>
  <w:footnote w:id="1">
    <w:p w14:paraId="492DF434" w14:textId="77777777" w:rsidR="00BE5EF6" w:rsidRPr="003A7983" w:rsidRDefault="00BE5EF6" w:rsidP="00BE5EF6">
      <w:pPr>
        <w:pStyle w:val="Notedebasdepage"/>
        <w:ind w:left="142" w:hanging="142"/>
        <w:jc w:val="both"/>
        <w:rPr>
          <w:sz w:val="18"/>
          <w:szCs w:val="18"/>
        </w:rPr>
      </w:pPr>
      <w:r>
        <w:rPr>
          <w:rStyle w:val="Appelnotedebasdep"/>
        </w:rPr>
        <w:footnoteRef/>
      </w:r>
      <w:r>
        <w:t xml:space="preserve"> </w:t>
      </w:r>
      <w:r w:rsidRPr="003A7983">
        <w:rPr>
          <w:rFonts w:ascii="Arial" w:hAnsi="Arial" w:cs="Arial"/>
          <w:noProof/>
          <w:sz w:val="18"/>
          <w:szCs w:val="18"/>
        </w:rPr>
        <w:t>EDS V, Guinée, 2018.</w:t>
      </w:r>
    </w:p>
  </w:footnote>
  <w:footnote w:id="2">
    <w:p w14:paraId="02FE3A6C" w14:textId="77777777" w:rsidR="00BE5EF6" w:rsidRDefault="00BE5EF6" w:rsidP="00BE5EF6">
      <w:pPr>
        <w:pStyle w:val="Notedebasdepage"/>
        <w:ind w:left="142" w:hanging="142"/>
        <w:jc w:val="both"/>
      </w:pPr>
      <w:r w:rsidRPr="003A7983">
        <w:rPr>
          <w:rStyle w:val="Appelnotedebasdep"/>
          <w:sz w:val="18"/>
          <w:szCs w:val="18"/>
        </w:rPr>
        <w:footnoteRef/>
      </w:r>
      <w:r w:rsidRPr="003A7983">
        <w:rPr>
          <w:sz w:val="18"/>
          <w:szCs w:val="18"/>
        </w:rPr>
        <w:t xml:space="preserve"> </w:t>
      </w:r>
      <w:r w:rsidRPr="009228F5">
        <w:rPr>
          <w:rFonts w:ascii="Arial" w:hAnsi="Arial" w:cs="Arial"/>
          <w:sz w:val="18"/>
          <w:szCs w:val="18"/>
        </w:rPr>
        <w:t>Spectrum v6.29</w:t>
      </w:r>
      <w:r>
        <w:rPr>
          <w:rFonts w:ascii="Arial" w:hAnsi="Arial" w:cs="Arial"/>
          <w:noProof/>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48F7" w14:textId="77777777" w:rsidR="00707964" w:rsidRDefault="008608B2">
    <w:pPr>
      <w:pStyle w:val="En-tte"/>
      <w:pBdr>
        <w:bottom w:val="single" w:sz="4" w:space="1" w:color="auto"/>
      </w:pBdr>
      <w:tabs>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48</w:t>
    </w:r>
    <w:r>
      <w:rPr>
        <w:rStyle w:val="Numrodepage"/>
        <w:sz w:val="20"/>
      </w:rPr>
      <w:fldChar w:fldCharType="end"/>
    </w:r>
    <w:r>
      <w:rPr>
        <w:rStyle w:val="Numrodepage"/>
        <w:sz w:val="20"/>
      </w:rPr>
      <w:tab/>
    </w:r>
    <w:r>
      <w:rPr>
        <w:rStyle w:val="Numrodepage"/>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36ED" w14:textId="103B0DB6" w:rsidR="00707964" w:rsidRPr="00C47950" w:rsidRDefault="00F671F9" w:rsidP="00C479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649F"/>
    <w:multiLevelType w:val="hybridMultilevel"/>
    <w:tmpl w:val="6E4E278E"/>
    <w:lvl w:ilvl="0" w:tplc="72EC527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40E7A"/>
    <w:multiLevelType w:val="multilevel"/>
    <w:tmpl w:val="3396834A"/>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82545D"/>
    <w:multiLevelType w:val="hybridMultilevel"/>
    <w:tmpl w:val="5C082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70B16"/>
    <w:multiLevelType w:val="multilevel"/>
    <w:tmpl w:val="EA1A8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131CE"/>
    <w:multiLevelType w:val="multilevel"/>
    <w:tmpl w:val="D1C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B6DC9"/>
    <w:multiLevelType w:val="hybridMultilevel"/>
    <w:tmpl w:val="F3D0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67E63"/>
    <w:multiLevelType w:val="multilevel"/>
    <w:tmpl w:val="035AF9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C06D71"/>
    <w:multiLevelType w:val="multilevel"/>
    <w:tmpl w:val="A9E4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C5341"/>
    <w:multiLevelType w:val="multilevel"/>
    <w:tmpl w:val="59023D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58D0F95"/>
    <w:multiLevelType w:val="multilevel"/>
    <w:tmpl w:val="F4062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F656B"/>
    <w:multiLevelType w:val="multilevel"/>
    <w:tmpl w:val="2CB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66A69"/>
    <w:multiLevelType w:val="multilevel"/>
    <w:tmpl w:val="FE68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13" w15:restartNumberingAfterBreak="0">
    <w:nsid w:val="424875AB"/>
    <w:multiLevelType w:val="multilevel"/>
    <w:tmpl w:val="C0F4D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BB111F"/>
    <w:multiLevelType w:val="multilevel"/>
    <w:tmpl w:val="1A629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D7451"/>
    <w:multiLevelType w:val="multilevel"/>
    <w:tmpl w:val="319EF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67A92"/>
    <w:multiLevelType w:val="multilevel"/>
    <w:tmpl w:val="0F5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67626"/>
    <w:multiLevelType w:val="hybridMultilevel"/>
    <w:tmpl w:val="B7002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40155A"/>
    <w:multiLevelType w:val="hybridMultilevel"/>
    <w:tmpl w:val="8A484FD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E81AFA"/>
    <w:multiLevelType w:val="multilevel"/>
    <w:tmpl w:val="2572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0E709B"/>
    <w:multiLevelType w:val="hybridMultilevel"/>
    <w:tmpl w:val="7CDA1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CE0D3B"/>
    <w:multiLevelType w:val="multilevel"/>
    <w:tmpl w:val="63AC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0C5D40"/>
    <w:multiLevelType w:val="multilevel"/>
    <w:tmpl w:val="79867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5D133C"/>
    <w:multiLevelType w:val="hybridMultilevel"/>
    <w:tmpl w:val="7026E020"/>
    <w:lvl w:ilvl="0" w:tplc="D092E92A">
      <w:numFmt w:val="bullet"/>
      <w:lvlText w:val="-"/>
      <w:lvlJc w:val="left"/>
      <w:pPr>
        <w:ind w:left="420" w:hanging="360"/>
      </w:pPr>
      <w:rPr>
        <w:rFonts w:ascii="Century Gothic" w:eastAsia="Times New Roman" w:hAnsi="Century Gothic"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5" w15:restartNumberingAfterBreak="0">
    <w:nsid w:val="7DAD365D"/>
    <w:multiLevelType w:val="multilevel"/>
    <w:tmpl w:val="B1A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D34BF"/>
    <w:multiLevelType w:val="hybridMultilevel"/>
    <w:tmpl w:val="65EA364A"/>
    <w:lvl w:ilvl="0" w:tplc="2000000B">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num w:numId="1">
    <w:abstractNumId w:val="24"/>
  </w:num>
  <w:num w:numId="2">
    <w:abstractNumId w:val="2"/>
  </w:num>
  <w:num w:numId="3">
    <w:abstractNumId w:val="17"/>
  </w:num>
  <w:num w:numId="4">
    <w:abstractNumId w:val="18"/>
  </w:num>
  <w:num w:numId="5">
    <w:abstractNumId w:val="21"/>
  </w:num>
  <w:num w:numId="6">
    <w:abstractNumId w:val="3"/>
  </w:num>
  <w:num w:numId="7">
    <w:abstractNumId w:val="1"/>
  </w:num>
  <w:num w:numId="8">
    <w:abstractNumId w:val="0"/>
  </w:num>
  <w:num w:numId="9">
    <w:abstractNumId w:val="16"/>
  </w:num>
  <w:num w:numId="10">
    <w:abstractNumId w:val="8"/>
  </w:num>
  <w:num w:numId="11">
    <w:abstractNumId w:val="7"/>
  </w:num>
  <w:num w:numId="12">
    <w:abstractNumId w:val="9"/>
  </w:num>
  <w:num w:numId="13">
    <w:abstractNumId w:val="14"/>
  </w:num>
  <w:num w:numId="14">
    <w:abstractNumId w:val="11"/>
  </w:num>
  <w:num w:numId="15">
    <w:abstractNumId w:val="15"/>
  </w:num>
  <w:num w:numId="16">
    <w:abstractNumId w:val="4"/>
  </w:num>
  <w:num w:numId="17">
    <w:abstractNumId w:val="23"/>
  </w:num>
  <w:num w:numId="18">
    <w:abstractNumId w:val="13"/>
  </w:num>
  <w:num w:numId="19">
    <w:abstractNumId w:val="20"/>
  </w:num>
  <w:num w:numId="20">
    <w:abstractNumId w:val="6"/>
  </w:num>
  <w:num w:numId="21">
    <w:abstractNumId w:val="10"/>
  </w:num>
  <w:num w:numId="22">
    <w:abstractNumId w:val="22"/>
  </w:num>
  <w:num w:numId="23">
    <w:abstractNumId w:val="25"/>
  </w:num>
  <w:num w:numId="24">
    <w:abstractNumId w:val="5"/>
  </w:num>
  <w:num w:numId="25">
    <w:abstractNumId w:val="12"/>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A0"/>
    <w:rsid w:val="000B1E9C"/>
    <w:rsid w:val="00111877"/>
    <w:rsid w:val="0011210A"/>
    <w:rsid w:val="0013560A"/>
    <w:rsid w:val="001477CE"/>
    <w:rsid w:val="0015577A"/>
    <w:rsid w:val="001B07CC"/>
    <w:rsid w:val="001B2660"/>
    <w:rsid w:val="001E5D18"/>
    <w:rsid w:val="002374CC"/>
    <w:rsid w:val="002460B2"/>
    <w:rsid w:val="002701A9"/>
    <w:rsid w:val="00272272"/>
    <w:rsid w:val="00285720"/>
    <w:rsid w:val="002B289A"/>
    <w:rsid w:val="002D7BD9"/>
    <w:rsid w:val="00381BB8"/>
    <w:rsid w:val="003F0CDE"/>
    <w:rsid w:val="00445FF8"/>
    <w:rsid w:val="00493BE2"/>
    <w:rsid w:val="004B59A0"/>
    <w:rsid w:val="004E1244"/>
    <w:rsid w:val="004E6EAB"/>
    <w:rsid w:val="00511C55"/>
    <w:rsid w:val="0058211E"/>
    <w:rsid w:val="0059342E"/>
    <w:rsid w:val="005A0D56"/>
    <w:rsid w:val="005A1845"/>
    <w:rsid w:val="005A7CF9"/>
    <w:rsid w:val="006541D1"/>
    <w:rsid w:val="0066145A"/>
    <w:rsid w:val="006B6415"/>
    <w:rsid w:val="006C5941"/>
    <w:rsid w:val="006C7E7D"/>
    <w:rsid w:val="00737C29"/>
    <w:rsid w:val="0076327D"/>
    <w:rsid w:val="0076562B"/>
    <w:rsid w:val="007A1D23"/>
    <w:rsid w:val="007B239C"/>
    <w:rsid w:val="007C1FC0"/>
    <w:rsid w:val="00856CBB"/>
    <w:rsid w:val="008608B2"/>
    <w:rsid w:val="00867A34"/>
    <w:rsid w:val="00871AA4"/>
    <w:rsid w:val="008A15C1"/>
    <w:rsid w:val="008A5DFB"/>
    <w:rsid w:val="008B3393"/>
    <w:rsid w:val="008C6487"/>
    <w:rsid w:val="00970462"/>
    <w:rsid w:val="00B12A1C"/>
    <w:rsid w:val="00B13E4F"/>
    <w:rsid w:val="00B4187B"/>
    <w:rsid w:val="00B55336"/>
    <w:rsid w:val="00B76104"/>
    <w:rsid w:val="00BC1DC1"/>
    <w:rsid w:val="00BE150F"/>
    <w:rsid w:val="00BE5EF6"/>
    <w:rsid w:val="00BE7869"/>
    <w:rsid w:val="00C22E9B"/>
    <w:rsid w:val="00C47950"/>
    <w:rsid w:val="00CB2502"/>
    <w:rsid w:val="00CC1583"/>
    <w:rsid w:val="00D00AF1"/>
    <w:rsid w:val="00DB63EB"/>
    <w:rsid w:val="00DC2AE6"/>
    <w:rsid w:val="00DD1A9B"/>
    <w:rsid w:val="00E27187"/>
    <w:rsid w:val="00E3593D"/>
    <w:rsid w:val="00E42993"/>
    <w:rsid w:val="00E64BBF"/>
    <w:rsid w:val="00F114D8"/>
    <w:rsid w:val="00F64360"/>
    <w:rsid w:val="00F671F9"/>
    <w:rsid w:val="00FA3758"/>
    <w:rsid w:val="00FC6FF1"/>
    <w:rsid w:val="00FD3168"/>
    <w:rsid w:val="00FE60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38B6"/>
  <w15:chartTrackingRefBased/>
  <w15:docId w15:val="{35A05DE7-7C1C-47C5-BCEB-C2C57DE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9A0"/>
    <w:pPr>
      <w:spacing w:after="0" w:line="240" w:lineRule="auto"/>
    </w:pPr>
    <w:rPr>
      <w:rFonts w:ascii="Arial Narrow" w:eastAsia="Times New Roman" w:hAnsi="Arial Narrow" w:cs="Times New Roman"/>
      <w:bCs/>
      <w:sz w:val="24"/>
      <w:szCs w:val="24"/>
      <w:lang w:eastAsia="fr-FR"/>
    </w:rPr>
  </w:style>
  <w:style w:type="paragraph" w:styleId="Titre1">
    <w:name w:val="heading 1"/>
    <w:basedOn w:val="Normal"/>
    <w:next w:val="Normal"/>
    <w:link w:val="Titre1Car"/>
    <w:uiPriority w:val="9"/>
    <w:qFormat/>
    <w:rsid w:val="0015577A"/>
    <w:pPr>
      <w:keepNext/>
      <w:keepLines/>
      <w:spacing w:before="240" w:after="240"/>
      <w:jc w:val="center"/>
      <w:outlineLvl w:val="0"/>
    </w:pPr>
    <w:rPr>
      <w:rFonts w:ascii="Times New Roman Bold" w:hAnsi="Times New Roman Bold"/>
      <w:b/>
      <w:bCs w:val="0"/>
      <w:sz w:val="32"/>
      <w:szCs w:val="20"/>
      <w:lang w:eastAsia="en-US"/>
    </w:rPr>
  </w:style>
  <w:style w:type="paragraph" w:styleId="Titre2">
    <w:name w:val="heading 2"/>
    <w:basedOn w:val="Normal"/>
    <w:next w:val="Normal"/>
    <w:link w:val="Titre2Car"/>
    <w:uiPriority w:val="9"/>
    <w:semiHidden/>
    <w:unhideWhenUsed/>
    <w:qFormat/>
    <w:rsid w:val="001B2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B59A0"/>
    <w:pPr>
      <w:tabs>
        <w:tab w:val="center" w:pos="4320"/>
        <w:tab w:val="right" w:pos="8640"/>
      </w:tabs>
    </w:pPr>
    <w:rPr>
      <w:rFonts w:ascii="Times New Roman" w:hAnsi="Times New Roman"/>
      <w:bCs w:val="0"/>
    </w:rPr>
  </w:style>
  <w:style w:type="character" w:customStyle="1" w:styleId="En-tteCar">
    <w:name w:val="En-tête Car"/>
    <w:basedOn w:val="Policepardfaut"/>
    <w:link w:val="En-tte"/>
    <w:uiPriority w:val="99"/>
    <w:rsid w:val="004B59A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B59A0"/>
    <w:rPr>
      <w:color w:val="0563C1" w:themeColor="hyperlink"/>
      <w:u w:val="single"/>
    </w:rPr>
  </w:style>
  <w:style w:type="paragraph" w:styleId="Paragraphedeliste">
    <w:name w:val="List Paragraph"/>
    <w:aliases w:val="References,Bullets,List Paragraph (numbered (a)),Numbered List Paragraph,Grille claire - Accent 31,Normal bullet 2,Paragraph,Paragraphe de liste (sdt),List Paragraph1,List Paragraph2,Bullet List,FooterText,Colorful List Accent 1,????"/>
    <w:basedOn w:val="Normal"/>
    <w:link w:val="ParagraphedelisteCar"/>
    <w:uiPriority w:val="34"/>
    <w:qFormat/>
    <w:rsid w:val="004B59A0"/>
    <w:pPr>
      <w:ind w:left="720"/>
      <w:contextualSpacing/>
    </w:pPr>
  </w:style>
  <w:style w:type="character" w:customStyle="1" w:styleId="Mentionnonrsolue1">
    <w:name w:val="Mention non résolue1"/>
    <w:basedOn w:val="Policepardfaut"/>
    <w:uiPriority w:val="99"/>
    <w:semiHidden/>
    <w:unhideWhenUsed/>
    <w:rsid w:val="005A0D56"/>
    <w:rPr>
      <w:color w:val="605E5C"/>
      <w:shd w:val="clear" w:color="auto" w:fill="E1DFDD"/>
    </w:rPr>
  </w:style>
  <w:style w:type="character" w:customStyle="1" w:styleId="Titre1Car">
    <w:name w:val="Titre 1 Car"/>
    <w:basedOn w:val="Policepardfaut"/>
    <w:link w:val="Titre1"/>
    <w:uiPriority w:val="9"/>
    <w:rsid w:val="0015577A"/>
    <w:rPr>
      <w:rFonts w:ascii="Times New Roman Bold" w:eastAsia="Times New Roman" w:hAnsi="Times New Roman Bold" w:cs="Times New Roman"/>
      <w:b/>
      <w:sz w:val="32"/>
      <w:szCs w:val="20"/>
    </w:rPr>
  </w:style>
  <w:style w:type="paragraph" w:styleId="Commentaire">
    <w:name w:val="annotation text"/>
    <w:basedOn w:val="Normal"/>
    <w:link w:val="CommentaireCar"/>
    <w:uiPriority w:val="99"/>
    <w:rsid w:val="0015577A"/>
    <w:rPr>
      <w:rFonts w:ascii="Times New Roman" w:hAnsi="Times New Roman"/>
      <w:bCs w:val="0"/>
      <w:sz w:val="20"/>
      <w:szCs w:val="20"/>
      <w:lang w:val="x-none" w:eastAsia="en-US"/>
    </w:rPr>
  </w:style>
  <w:style w:type="character" w:customStyle="1" w:styleId="CommentaireCar">
    <w:name w:val="Commentaire Car"/>
    <w:basedOn w:val="Policepardfaut"/>
    <w:link w:val="Commentaire"/>
    <w:uiPriority w:val="99"/>
    <w:rsid w:val="0015577A"/>
    <w:rPr>
      <w:rFonts w:ascii="Times New Roman" w:eastAsia="Times New Roman" w:hAnsi="Times New Roman" w:cs="Times New Roman"/>
      <w:sz w:val="20"/>
      <w:szCs w:val="20"/>
      <w:lang w:val="x-none"/>
    </w:rPr>
  </w:style>
  <w:style w:type="paragraph" w:customStyle="1" w:styleId="Header3-Paragraph">
    <w:name w:val="Header 3 - Paragraph"/>
    <w:basedOn w:val="Normal"/>
    <w:rsid w:val="0015577A"/>
    <w:pPr>
      <w:tabs>
        <w:tab w:val="left" w:pos="504"/>
      </w:tabs>
      <w:overflowPunct w:val="0"/>
      <w:autoSpaceDE w:val="0"/>
      <w:autoSpaceDN w:val="0"/>
      <w:adjustRightInd w:val="0"/>
      <w:spacing w:after="200"/>
      <w:ind w:left="504" w:hanging="504"/>
      <w:jc w:val="both"/>
      <w:textAlignment w:val="baseline"/>
    </w:pPr>
    <w:rPr>
      <w:rFonts w:ascii="Times New Roman" w:hAnsi="Times New Roman" w:cs="Arial"/>
      <w:bCs w:val="0"/>
      <w:lang w:val="en-US"/>
    </w:rPr>
  </w:style>
  <w:style w:type="character" w:customStyle="1" w:styleId="ParagraphedelisteCar">
    <w:name w:val="Paragraphe de liste Car"/>
    <w:aliases w:val="References Car,Bullets Car,List Paragraph (numbered (a)) Car,Numbered List Paragraph Car,Grille claire - Accent 31 Car,Normal bullet 2 Car,Paragraph Car,Paragraphe de liste (sdt) Car,List Paragraph1 Car,List Paragraph2 Car"/>
    <w:link w:val="Paragraphedeliste"/>
    <w:uiPriority w:val="34"/>
    <w:qFormat/>
    <w:locked/>
    <w:rsid w:val="0015577A"/>
    <w:rPr>
      <w:rFonts w:ascii="Arial Narrow" w:eastAsia="Times New Roman" w:hAnsi="Arial Narrow" w:cs="Times New Roman"/>
      <w:bCs/>
      <w:sz w:val="24"/>
      <w:szCs w:val="24"/>
      <w:lang w:eastAsia="fr-FR"/>
    </w:rPr>
  </w:style>
  <w:style w:type="character" w:styleId="Numrodepage">
    <w:name w:val="page number"/>
    <w:basedOn w:val="Policepardfaut"/>
    <w:rsid w:val="001B2660"/>
  </w:style>
  <w:style w:type="paragraph" w:styleId="NormalWeb">
    <w:name w:val="Normal (Web)"/>
    <w:basedOn w:val="Normal"/>
    <w:uiPriority w:val="99"/>
    <w:rsid w:val="001B2660"/>
    <w:pPr>
      <w:spacing w:before="100" w:beforeAutospacing="1" w:after="100" w:afterAutospacing="1"/>
    </w:pPr>
    <w:rPr>
      <w:rFonts w:ascii="Arial Unicode MS" w:eastAsia="Arial Unicode MS" w:hAnsi="Arial Unicode MS" w:cs="Arial Unicode MS"/>
      <w:bCs w:val="0"/>
      <w:color w:val="000000"/>
      <w:lang w:val="en-US" w:eastAsia="en-US"/>
    </w:rPr>
  </w:style>
  <w:style w:type="paragraph" w:customStyle="1" w:styleId="A1-heading2">
    <w:name w:val="A1-heading2"/>
    <w:basedOn w:val="Titre2"/>
    <w:rsid w:val="001B2660"/>
    <w:pPr>
      <w:spacing w:before="240" w:after="240"/>
      <w:jc w:val="center"/>
    </w:pPr>
    <w:rPr>
      <w:rFonts w:ascii="Times New Roman Bold" w:eastAsia="Times New Roman" w:hAnsi="Times New Roman Bold" w:cs="Times New Roman"/>
      <w:b/>
      <w:bCs w:val="0"/>
      <w:smallCaps/>
      <w:color w:val="auto"/>
      <w:sz w:val="24"/>
      <w:szCs w:val="20"/>
      <w:lang w:eastAsia="en-US"/>
    </w:rPr>
  </w:style>
  <w:style w:type="paragraph" w:styleId="Sansinterligne">
    <w:name w:val="No Spacing"/>
    <w:uiPriority w:val="1"/>
    <w:qFormat/>
    <w:rsid w:val="001B2660"/>
    <w:pPr>
      <w:spacing w:after="0" w:line="240" w:lineRule="auto"/>
    </w:pPr>
    <w:rPr>
      <w:rFonts w:ascii="Calibri" w:eastAsia="Calibri" w:hAnsi="Calibri" w:cs="Times New Roman"/>
      <w:lang w:val="fr-BE"/>
    </w:rPr>
  </w:style>
  <w:style w:type="character" w:customStyle="1" w:styleId="Titre2Car">
    <w:name w:val="Titre 2 Car"/>
    <w:basedOn w:val="Policepardfaut"/>
    <w:link w:val="Titre2"/>
    <w:uiPriority w:val="9"/>
    <w:semiHidden/>
    <w:rsid w:val="001B2660"/>
    <w:rPr>
      <w:rFonts w:asciiTheme="majorHAnsi" w:eastAsiaTheme="majorEastAsia" w:hAnsiTheme="majorHAnsi" w:cstheme="majorBidi"/>
      <w:bCs/>
      <w:color w:val="2F5496" w:themeColor="accent1" w:themeShade="BF"/>
      <w:sz w:val="26"/>
      <w:szCs w:val="26"/>
      <w:lang w:eastAsia="fr-FR"/>
    </w:rPr>
  </w:style>
  <w:style w:type="paragraph" w:styleId="Pieddepage">
    <w:name w:val="footer"/>
    <w:basedOn w:val="Normal"/>
    <w:link w:val="PieddepageCar"/>
    <w:unhideWhenUsed/>
    <w:rsid w:val="001B2660"/>
    <w:pPr>
      <w:tabs>
        <w:tab w:val="center" w:pos="4536"/>
        <w:tab w:val="right" w:pos="9072"/>
      </w:tabs>
    </w:pPr>
  </w:style>
  <w:style w:type="character" w:customStyle="1" w:styleId="PieddepageCar">
    <w:name w:val="Pied de page Car"/>
    <w:basedOn w:val="Policepardfaut"/>
    <w:link w:val="Pieddepage"/>
    <w:rsid w:val="001B2660"/>
    <w:rPr>
      <w:rFonts w:ascii="Arial Narrow" w:eastAsia="Times New Roman" w:hAnsi="Arial Narrow" w:cs="Times New Roman"/>
      <w:bCs/>
      <w:sz w:val="24"/>
      <w:szCs w:val="24"/>
      <w:lang w:eastAsia="fr-FR"/>
    </w:rPr>
  </w:style>
  <w:style w:type="character" w:styleId="Marquedecommentaire">
    <w:name w:val="annotation reference"/>
    <w:basedOn w:val="Policepardfaut"/>
    <w:uiPriority w:val="99"/>
    <w:unhideWhenUsed/>
    <w:rsid w:val="00B76104"/>
    <w:rPr>
      <w:sz w:val="16"/>
      <w:szCs w:val="16"/>
    </w:rPr>
  </w:style>
  <w:style w:type="paragraph" w:styleId="Objetducommentaire">
    <w:name w:val="annotation subject"/>
    <w:basedOn w:val="Commentaire"/>
    <w:next w:val="Commentaire"/>
    <w:link w:val="ObjetducommentaireCar"/>
    <w:uiPriority w:val="99"/>
    <w:semiHidden/>
    <w:unhideWhenUsed/>
    <w:rsid w:val="00B76104"/>
    <w:rPr>
      <w:rFonts w:ascii="Arial Narrow" w:hAnsi="Arial Narrow"/>
      <w:b/>
      <w:bCs/>
      <w:lang w:val="fr-FR" w:eastAsia="fr-FR"/>
    </w:rPr>
  </w:style>
  <w:style w:type="character" w:customStyle="1" w:styleId="ObjetducommentaireCar">
    <w:name w:val="Objet du commentaire Car"/>
    <w:basedOn w:val="CommentaireCar"/>
    <w:link w:val="Objetducommentaire"/>
    <w:uiPriority w:val="99"/>
    <w:semiHidden/>
    <w:rsid w:val="00B76104"/>
    <w:rPr>
      <w:rFonts w:ascii="Arial Narrow" w:eastAsia="Times New Roman" w:hAnsi="Arial Narrow" w:cs="Times New Roman"/>
      <w:b/>
      <w:bCs/>
      <w:sz w:val="20"/>
      <w:szCs w:val="20"/>
      <w:lang w:val="x-none" w:eastAsia="fr-FR"/>
    </w:rPr>
  </w:style>
  <w:style w:type="paragraph" w:styleId="Textedebulles">
    <w:name w:val="Balloon Text"/>
    <w:basedOn w:val="Normal"/>
    <w:link w:val="TextedebullesCar"/>
    <w:uiPriority w:val="99"/>
    <w:semiHidden/>
    <w:unhideWhenUsed/>
    <w:rsid w:val="00B761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104"/>
    <w:rPr>
      <w:rFonts w:ascii="Segoe UI" w:eastAsia="Times New Roman" w:hAnsi="Segoe UI" w:cs="Segoe UI"/>
      <w:bCs/>
      <w:sz w:val="18"/>
      <w:szCs w:val="18"/>
      <w:lang w:eastAsia="fr-FR"/>
    </w:rPr>
  </w:style>
  <w:style w:type="character" w:styleId="Lienhypertextesuivivisit">
    <w:name w:val="FollowedHyperlink"/>
    <w:basedOn w:val="Policepardfaut"/>
    <w:uiPriority w:val="99"/>
    <w:semiHidden/>
    <w:unhideWhenUsed/>
    <w:rsid w:val="00285720"/>
    <w:rPr>
      <w:color w:val="954F72" w:themeColor="followedHyperlink"/>
      <w:u w:val="single"/>
    </w:rPr>
  </w:style>
  <w:style w:type="paragraph" w:styleId="Corpsdetexte2">
    <w:name w:val="Body Text 2"/>
    <w:basedOn w:val="Normal"/>
    <w:link w:val="Corpsdetexte2Car"/>
    <w:rsid w:val="001B07CC"/>
    <w:pPr>
      <w:jc w:val="center"/>
    </w:pPr>
    <w:rPr>
      <w:rFonts w:ascii="Times New Roman Bold" w:hAnsi="Times New Roman Bold"/>
      <w:b/>
      <w:bCs w:val="0"/>
      <w:smallCaps/>
      <w:sz w:val="28"/>
      <w:szCs w:val="20"/>
      <w:lang w:eastAsia="en-US"/>
    </w:rPr>
  </w:style>
  <w:style w:type="character" w:customStyle="1" w:styleId="Corpsdetexte2Car">
    <w:name w:val="Corps de texte 2 Car"/>
    <w:basedOn w:val="Policepardfaut"/>
    <w:link w:val="Corpsdetexte2"/>
    <w:rsid w:val="001B07CC"/>
    <w:rPr>
      <w:rFonts w:ascii="Times New Roman Bold" w:eastAsia="Times New Roman" w:hAnsi="Times New Roman Bold" w:cs="Times New Roman"/>
      <w:b/>
      <w:smallCaps/>
      <w:sz w:val="28"/>
      <w:szCs w:val="20"/>
    </w:rPr>
  </w:style>
  <w:style w:type="paragraph" w:customStyle="1" w:styleId="BankNormal">
    <w:name w:val="BankNormal"/>
    <w:basedOn w:val="Normal"/>
    <w:rsid w:val="001B07CC"/>
    <w:pPr>
      <w:spacing w:after="240"/>
    </w:pPr>
    <w:rPr>
      <w:rFonts w:ascii="Times New Roman" w:hAnsi="Times New Roman"/>
      <w:bCs w:val="0"/>
      <w:szCs w:val="20"/>
      <w:lang w:eastAsia="en-US"/>
    </w:rPr>
  </w:style>
  <w:style w:type="paragraph" w:styleId="Retraitcorpsdetexte">
    <w:name w:val="Body Text Indent"/>
    <w:basedOn w:val="Normal"/>
    <w:link w:val="RetraitcorpsdetexteCar"/>
    <w:uiPriority w:val="99"/>
    <w:semiHidden/>
    <w:unhideWhenUsed/>
    <w:rsid w:val="001B07CC"/>
    <w:pPr>
      <w:spacing w:after="120"/>
      <w:ind w:left="283"/>
    </w:pPr>
  </w:style>
  <w:style w:type="character" w:customStyle="1" w:styleId="RetraitcorpsdetexteCar">
    <w:name w:val="Retrait corps de texte Car"/>
    <w:basedOn w:val="Policepardfaut"/>
    <w:link w:val="Retraitcorpsdetexte"/>
    <w:uiPriority w:val="99"/>
    <w:semiHidden/>
    <w:rsid w:val="001B07CC"/>
    <w:rPr>
      <w:rFonts w:ascii="Arial Narrow" w:eastAsia="Times New Roman" w:hAnsi="Arial Narrow" w:cs="Times New Roman"/>
      <w:bCs/>
      <w:sz w:val="24"/>
      <w:szCs w:val="24"/>
      <w:lang w:eastAsia="fr-FR"/>
    </w:rPr>
  </w:style>
  <w:style w:type="paragraph" w:styleId="Notedebasdepage">
    <w:name w:val="footnote text"/>
    <w:basedOn w:val="Normal"/>
    <w:link w:val="NotedebasdepageCar"/>
    <w:uiPriority w:val="99"/>
    <w:unhideWhenUsed/>
    <w:rsid w:val="00BE5EF6"/>
    <w:rPr>
      <w:rFonts w:ascii="Calibri" w:hAnsi="Calibri"/>
      <w:bCs w:val="0"/>
      <w:sz w:val="20"/>
      <w:szCs w:val="20"/>
    </w:rPr>
  </w:style>
  <w:style w:type="character" w:customStyle="1" w:styleId="NotedebasdepageCar">
    <w:name w:val="Note de bas de page Car"/>
    <w:basedOn w:val="Policepardfaut"/>
    <w:link w:val="Notedebasdepage"/>
    <w:uiPriority w:val="99"/>
    <w:rsid w:val="00BE5EF6"/>
    <w:rPr>
      <w:rFonts w:ascii="Calibri" w:eastAsia="Times New Roman" w:hAnsi="Calibri" w:cs="Times New Roman"/>
      <w:sz w:val="20"/>
      <w:szCs w:val="20"/>
      <w:lang w:eastAsia="fr-FR"/>
    </w:rPr>
  </w:style>
  <w:style w:type="character" w:styleId="Appelnotedebasdep">
    <w:name w:val="footnote reference"/>
    <w:uiPriority w:val="99"/>
    <w:unhideWhenUsed/>
    <w:rsid w:val="00BE5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6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uagcp@gmail.com" TargetMode="External"/><Relationship Id="rId4" Type="http://schemas.openxmlformats.org/officeDocument/2006/relationships/webSettings" Target="webSettings.xml"/><Relationship Id="rId9" Type="http://schemas.openxmlformats.org/officeDocument/2006/relationships/hyperlink" Target="mailto:tenders.uagcp@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6202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 Camara</dc:creator>
  <cp:keywords/>
  <dc:description/>
  <cp:lastModifiedBy>UAGCP-1</cp:lastModifiedBy>
  <cp:revision>3</cp:revision>
  <dcterms:created xsi:type="dcterms:W3CDTF">2023-10-28T07:47:00Z</dcterms:created>
  <dcterms:modified xsi:type="dcterms:W3CDTF">2023-10-28T09:05:00Z</dcterms:modified>
</cp:coreProperties>
</file>