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D8" w:rsidRDefault="00C44165" w:rsidP="00C44165">
      <w:pPr>
        <w:widowControl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AVIS D’</w:t>
      </w:r>
      <w:r w:rsidR="00EC6ED8">
        <w:rPr>
          <w:b/>
          <w:sz w:val="28"/>
          <w:szCs w:val="28"/>
        </w:rPr>
        <w:t>ANNULATION D</w:t>
      </w:r>
      <w:r>
        <w:rPr>
          <w:b/>
          <w:sz w:val="28"/>
          <w:szCs w:val="28"/>
        </w:rPr>
        <w:t xml:space="preserve">E LA </w:t>
      </w:r>
      <w:r w:rsidR="00EC6ED8">
        <w:rPr>
          <w:b/>
          <w:sz w:val="28"/>
          <w:szCs w:val="28"/>
        </w:rPr>
        <w:t>PROCÉDURE D’APPEL D’OFFRES</w:t>
      </w:r>
    </w:p>
    <w:p w:rsidR="00C44165" w:rsidRPr="00C44165" w:rsidRDefault="00C44165" w:rsidP="00C44165">
      <w:pPr>
        <w:widowControl/>
        <w:spacing w:before="0" w:after="0"/>
        <w:jc w:val="center"/>
        <w:rPr>
          <w:b/>
          <w:sz w:val="10"/>
          <w:szCs w:val="28"/>
        </w:rPr>
      </w:pPr>
    </w:p>
    <w:p w:rsidR="00C44165" w:rsidRDefault="00C44165" w:rsidP="00C44165">
      <w:pPr>
        <w:keepNext/>
        <w:widowControl/>
        <w:pBdr>
          <w:bottom w:val="single" w:sz="6" w:space="1" w:color="auto"/>
        </w:pBdr>
        <w:spacing w:before="0" w:after="0"/>
        <w:ind w:left="3544" w:hanging="3544"/>
        <w:outlineLvl w:val="0"/>
        <w:rPr>
          <w:szCs w:val="24"/>
        </w:rPr>
      </w:pPr>
    </w:p>
    <w:p w:rsidR="00C44165" w:rsidRDefault="00C44165" w:rsidP="00C44165">
      <w:pPr>
        <w:keepNext/>
        <w:widowControl/>
        <w:spacing w:before="0" w:after="0"/>
        <w:ind w:left="3544" w:hanging="3544"/>
        <w:outlineLvl w:val="0"/>
        <w:rPr>
          <w:rStyle w:val="lev"/>
          <w:szCs w:val="24"/>
          <w:u w:val="single"/>
        </w:rPr>
      </w:pPr>
    </w:p>
    <w:p w:rsidR="00EC6ED8" w:rsidRDefault="00C44165" w:rsidP="00C44165">
      <w:pPr>
        <w:keepNext/>
        <w:widowControl/>
        <w:ind w:left="3544" w:hanging="3544"/>
        <w:outlineLvl w:val="0"/>
        <w:rPr>
          <w:rStyle w:val="lev"/>
          <w:szCs w:val="24"/>
          <w:u w:val="single"/>
        </w:rPr>
      </w:pPr>
      <w:r>
        <w:rPr>
          <w:rStyle w:val="lev"/>
          <w:szCs w:val="24"/>
          <w:u w:val="single"/>
        </w:rPr>
        <w:t>Section </w:t>
      </w:r>
      <w:r w:rsidR="00EC6ED8" w:rsidRPr="00F2207B">
        <w:rPr>
          <w:rStyle w:val="lev"/>
          <w:szCs w:val="24"/>
          <w:u w:val="single"/>
        </w:rPr>
        <w:t xml:space="preserve">: </w:t>
      </w:r>
      <w:r w:rsidRPr="00F2207B">
        <w:rPr>
          <w:rStyle w:val="lev"/>
          <w:szCs w:val="24"/>
          <w:u w:val="single"/>
        </w:rPr>
        <w:t xml:space="preserve">Attribution </w:t>
      </w:r>
      <w:r w:rsidR="00EC6ED8" w:rsidRPr="00F2207B">
        <w:rPr>
          <w:rStyle w:val="lev"/>
          <w:szCs w:val="24"/>
          <w:u w:val="single"/>
        </w:rPr>
        <w:t>du marché</w:t>
      </w:r>
    </w:p>
    <w:p w:rsidR="00C44165" w:rsidRPr="00F2207B" w:rsidRDefault="00C44165" w:rsidP="00C44165">
      <w:pPr>
        <w:keepNext/>
        <w:widowControl/>
        <w:spacing w:before="0" w:after="0"/>
        <w:ind w:left="3544" w:hanging="3544"/>
        <w:outlineLvl w:val="0"/>
        <w:rPr>
          <w:rStyle w:val="lev"/>
          <w:b w:val="0"/>
          <w:szCs w:val="24"/>
        </w:rPr>
      </w:pPr>
    </w:p>
    <w:p w:rsidR="00C44165" w:rsidRDefault="00C44165" w:rsidP="00C44165">
      <w:pPr>
        <w:keepNext/>
        <w:widowControl/>
        <w:tabs>
          <w:tab w:val="left" w:pos="1843"/>
        </w:tabs>
        <w:spacing w:before="0" w:after="0" w:line="276" w:lineRule="auto"/>
        <w:ind w:left="1843" w:hanging="1843"/>
        <w:outlineLvl w:val="0"/>
        <w:rPr>
          <w:szCs w:val="24"/>
        </w:rPr>
      </w:pPr>
      <w:r w:rsidRPr="00C44165">
        <w:rPr>
          <w:b/>
          <w:szCs w:val="24"/>
        </w:rPr>
        <w:t>N° du Marché</w:t>
      </w:r>
      <w:r>
        <w:rPr>
          <w:szCs w:val="24"/>
        </w:rPr>
        <w:t> :</w:t>
      </w:r>
      <w:r>
        <w:rPr>
          <w:szCs w:val="24"/>
        </w:rPr>
        <w:tab/>
      </w:r>
      <w:r w:rsidRPr="00C44165">
        <w:rPr>
          <w:szCs w:val="24"/>
        </w:rPr>
        <w:t>004/2023/SI/AOO/GAVI/UAGCP</w:t>
      </w:r>
    </w:p>
    <w:p w:rsidR="00C44165" w:rsidRPr="00C44165" w:rsidRDefault="00C44165" w:rsidP="00C44165">
      <w:pPr>
        <w:keepNext/>
        <w:widowControl/>
        <w:tabs>
          <w:tab w:val="left" w:pos="1843"/>
        </w:tabs>
        <w:spacing w:before="0" w:after="0" w:line="276" w:lineRule="auto"/>
        <w:ind w:left="1843" w:hanging="1843"/>
        <w:outlineLvl w:val="0"/>
        <w:rPr>
          <w:b/>
          <w:i/>
          <w:sz w:val="22"/>
          <w:szCs w:val="22"/>
          <w:u w:val="single"/>
        </w:rPr>
      </w:pPr>
      <w:r w:rsidRPr="00C44165">
        <w:rPr>
          <w:b/>
          <w:szCs w:val="24"/>
        </w:rPr>
        <w:t>Intitulé</w:t>
      </w:r>
      <w:r>
        <w:rPr>
          <w:b/>
          <w:szCs w:val="24"/>
        </w:rPr>
        <w:t xml:space="preserve"> </w:t>
      </w:r>
      <w:r w:rsidRPr="00F2207B">
        <w:rPr>
          <w:szCs w:val="24"/>
        </w:rPr>
        <w:t>:</w:t>
      </w:r>
      <w:r w:rsidR="00581ACC" w:rsidRPr="00F2207B">
        <w:rPr>
          <w:szCs w:val="24"/>
        </w:rPr>
        <w:t xml:space="preserve"> </w:t>
      </w:r>
      <w:r>
        <w:rPr>
          <w:szCs w:val="24"/>
        </w:rPr>
        <w:tab/>
      </w:r>
      <w:r w:rsidRPr="00C44165">
        <w:rPr>
          <w:i/>
          <w:szCs w:val="24"/>
        </w:rPr>
        <w:t>Recrutement d’un cabinet pour la conception et le deploiement d’une application web de gestion</w:t>
      </w:r>
      <w:r w:rsidR="00FD2EDC">
        <w:rPr>
          <w:i/>
          <w:szCs w:val="24"/>
        </w:rPr>
        <w:t xml:space="preserve"> au profit de l’UAGCP</w:t>
      </w:r>
    </w:p>
    <w:p w:rsidR="00C44165" w:rsidRDefault="00C44165" w:rsidP="00FA50DE">
      <w:pPr>
        <w:keepNext/>
        <w:widowControl/>
        <w:tabs>
          <w:tab w:val="left" w:pos="1843"/>
        </w:tabs>
        <w:spacing w:before="0" w:after="0" w:line="276" w:lineRule="auto"/>
        <w:ind w:left="1843" w:hanging="1843"/>
        <w:outlineLvl w:val="0"/>
        <w:rPr>
          <w:szCs w:val="24"/>
        </w:rPr>
      </w:pPr>
      <w:r w:rsidRPr="00C44165">
        <w:rPr>
          <w:b/>
          <w:szCs w:val="24"/>
        </w:rPr>
        <w:t>Marché en lot</w:t>
      </w:r>
      <w:r>
        <w:rPr>
          <w:szCs w:val="24"/>
        </w:rPr>
        <w:t xml:space="preserve"> : </w:t>
      </w:r>
      <w:r>
        <w:rPr>
          <w:szCs w:val="24"/>
        </w:rPr>
        <w:tab/>
        <w:t>Non</w:t>
      </w:r>
    </w:p>
    <w:p w:rsidR="00EC6ED8" w:rsidRPr="00F2207B" w:rsidRDefault="00C44165" w:rsidP="00FA50DE">
      <w:pPr>
        <w:keepNext/>
        <w:widowControl/>
        <w:tabs>
          <w:tab w:val="left" w:pos="1843"/>
        </w:tabs>
        <w:outlineLvl w:val="0"/>
        <w:rPr>
          <w:rStyle w:val="lev"/>
          <w:b w:val="0"/>
          <w:szCs w:val="24"/>
        </w:rPr>
      </w:pPr>
      <w:r w:rsidRPr="00FA50DE">
        <w:rPr>
          <w:b/>
        </w:rPr>
        <w:t>M</w:t>
      </w:r>
      <w:r w:rsidR="00581ACC" w:rsidRPr="00FA50DE">
        <w:rPr>
          <w:b/>
        </w:rPr>
        <w:t>arché attribué</w:t>
      </w:r>
      <w:r w:rsidR="00581ACC" w:rsidRPr="00F2207B">
        <w:rPr>
          <w:rStyle w:val="lev"/>
          <w:b w:val="0"/>
          <w:szCs w:val="24"/>
        </w:rPr>
        <w:t xml:space="preserve">: </w:t>
      </w:r>
      <w:r w:rsidR="00FA50DE">
        <w:rPr>
          <w:rStyle w:val="lev"/>
          <w:b w:val="0"/>
          <w:szCs w:val="24"/>
        </w:rPr>
        <w:tab/>
      </w:r>
      <w:r w:rsidR="00FA50DE" w:rsidRPr="00F2207B">
        <w:rPr>
          <w:rStyle w:val="lev"/>
          <w:b w:val="0"/>
          <w:szCs w:val="24"/>
        </w:rPr>
        <w:t>Non</w:t>
      </w:r>
      <w:r w:rsidR="00581ACC" w:rsidRPr="00F2207B">
        <w:rPr>
          <w:szCs w:val="24"/>
        </w:rPr>
        <w:br/>
      </w:r>
      <w:r w:rsidR="00581ACC" w:rsidRPr="00F2207B">
        <w:rPr>
          <w:szCs w:val="24"/>
        </w:rPr>
        <w:br/>
      </w:r>
      <w:r w:rsidR="00581ACC" w:rsidRPr="00F2207B">
        <w:rPr>
          <w:szCs w:val="24"/>
        </w:rPr>
        <w:br/>
      </w:r>
      <w:r w:rsidR="00581ACC" w:rsidRPr="00F2207B">
        <w:rPr>
          <w:rStyle w:val="lev"/>
          <w:szCs w:val="24"/>
          <w:u w:val="single"/>
        </w:rPr>
        <w:t>Informations relatives à la non-attribution</w:t>
      </w:r>
    </w:p>
    <w:p w:rsidR="00EC6ED8" w:rsidRPr="00F2207B" w:rsidRDefault="00EC6ED8" w:rsidP="00FD2EDC">
      <w:pPr>
        <w:keepNext/>
        <w:widowControl/>
        <w:spacing w:line="276" w:lineRule="auto"/>
        <w:jc w:val="both"/>
        <w:outlineLvl w:val="0"/>
        <w:rPr>
          <w:rStyle w:val="lev"/>
          <w:b w:val="0"/>
          <w:szCs w:val="24"/>
        </w:rPr>
      </w:pPr>
      <w:r w:rsidRPr="00F2207B">
        <w:rPr>
          <w:rStyle w:val="lev"/>
          <w:b w:val="0"/>
          <w:szCs w:val="24"/>
        </w:rPr>
        <w:t>Le marché</w:t>
      </w:r>
      <w:r w:rsidR="00FA50DE">
        <w:rPr>
          <w:rStyle w:val="lev"/>
          <w:b w:val="0"/>
          <w:szCs w:val="24"/>
        </w:rPr>
        <w:t xml:space="preserve"> </w:t>
      </w:r>
      <w:r w:rsidRPr="00F2207B">
        <w:rPr>
          <w:rStyle w:val="lev"/>
          <w:b w:val="0"/>
          <w:szCs w:val="24"/>
        </w:rPr>
        <w:t>n’est pas attribué</w:t>
      </w:r>
      <w:r w:rsidR="00FA50DE">
        <w:rPr>
          <w:rStyle w:val="lev"/>
          <w:b w:val="0"/>
          <w:szCs w:val="24"/>
        </w:rPr>
        <w:t xml:space="preserve"> au motif que toutes les offres jugées techniquement conformes excèdent le budget alloué à ce projet.</w:t>
      </w:r>
    </w:p>
    <w:p w:rsidR="00926E61" w:rsidRPr="00F2207B" w:rsidRDefault="00581ACC" w:rsidP="00926E61">
      <w:pPr>
        <w:jc w:val="both"/>
        <w:rPr>
          <w:rStyle w:val="lev"/>
          <w:szCs w:val="24"/>
          <w:u w:val="single"/>
        </w:rPr>
      </w:pPr>
      <w:r w:rsidRPr="00F2207B">
        <w:rPr>
          <w:szCs w:val="24"/>
        </w:rPr>
        <w:br/>
      </w:r>
      <w:r w:rsidRPr="00F2207B">
        <w:rPr>
          <w:rStyle w:val="lev"/>
          <w:szCs w:val="24"/>
          <w:u w:val="single"/>
        </w:rPr>
        <w:t>Informations complémentaires</w:t>
      </w:r>
    </w:p>
    <w:p w:rsidR="00B448FA" w:rsidRDefault="00B448FA" w:rsidP="00FA50DE">
      <w:pPr>
        <w:spacing w:line="276" w:lineRule="auto"/>
        <w:jc w:val="both"/>
        <w:rPr>
          <w:szCs w:val="24"/>
        </w:rPr>
      </w:pPr>
      <w:r w:rsidRPr="00F2207B">
        <w:rPr>
          <w:szCs w:val="24"/>
        </w:rPr>
        <w:t xml:space="preserve">En cas de lancement d’une nouvelle procédure d’appel d’offres pour le présent projet, un nouvel avis de marché sera publié, sauf si le marché est attribué en procédure </w:t>
      </w:r>
      <w:r w:rsidR="00FA50DE">
        <w:rPr>
          <w:szCs w:val="24"/>
        </w:rPr>
        <w:t>d’entente directe</w:t>
      </w:r>
      <w:r w:rsidRPr="00F2207B">
        <w:rPr>
          <w:szCs w:val="24"/>
        </w:rPr>
        <w:t>.</w:t>
      </w:r>
    </w:p>
    <w:p w:rsidR="00FA50DE" w:rsidRPr="00F2207B" w:rsidRDefault="00FA50DE" w:rsidP="00FA50DE">
      <w:pPr>
        <w:spacing w:line="276" w:lineRule="auto"/>
        <w:jc w:val="both"/>
        <w:rPr>
          <w:szCs w:val="24"/>
        </w:rPr>
      </w:pPr>
      <w:bookmarkStart w:id="0" w:name="_GoBack"/>
      <w:bookmarkEnd w:id="0"/>
    </w:p>
    <w:p w:rsidR="00B448FA" w:rsidRDefault="00FA50DE" w:rsidP="00FA50DE">
      <w:pPr>
        <w:spacing w:before="0" w:after="0"/>
        <w:ind w:left="5103"/>
        <w:jc w:val="both"/>
        <w:rPr>
          <w:szCs w:val="24"/>
        </w:rPr>
      </w:pPr>
      <w:r>
        <w:rPr>
          <w:szCs w:val="24"/>
        </w:rPr>
        <w:t>Pour l’Autorité Contractante,</w:t>
      </w:r>
    </w:p>
    <w:p w:rsidR="00FA50DE" w:rsidRDefault="00FA50DE" w:rsidP="00FA50DE">
      <w:pPr>
        <w:spacing w:before="0" w:after="0"/>
        <w:ind w:left="5103"/>
        <w:jc w:val="both"/>
        <w:rPr>
          <w:b/>
          <w:u w:val="single"/>
        </w:rPr>
      </w:pPr>
    </w:p>
    <w:p w:rsidR="00FA50DE" w:rsidRDefault="00FA50DE" w:rsidP="00FA50DE">
      <w:pPr>
        <w:spacing w:before="0" w:after="0" w:line="276" w:lineRule="auto"/>
        <w:ind w:left="5103"/>
        <w:jc w:val="both"/>
        <w:rPr>
          <w:b/>
          <w:u w:val="single"/>
        </w:rPr>
      </w:pPr>
      <w:r w:rsidRPr="00813B59">
        <w:rPr>
          <w:b/>
          <w:u w:val="single"/>
        </w:rPr>
        <w:t>Dr Timothé GUILAVOGUI</w:t>
      </w:r>
    </w:p>
    <w:p w:rsidR="00FA50DE" w:rsidRPr="00FA50DE" w:rsidRDefault="00FA50DE" w:rsidP="00FA50DE">
      <w:pPr>
        <w:spacing w:before="0" w:after="0" w:line="276" w:lineRule="auto"/>
        <w:ind w:left="5103"/>
        <w:jc w:val="both"/>
        <w:rPr>
          <w:szCs w:val="24"/>
        </w:rPr>
      </w:pPr>
      <w:r w:rsidRPr="00FA50DE">
        <w:t>Coordonnateur de l’UAGCP</w:t>
      </w:r>
    </w:p>
    <w:p w:rsidR="00FA50DE" w:rsidRDefault="00FA50DE" w:rsidP="00FA50DE">
      <w:pPr>
        <w:spacing w:before="0" w:after="0"/>
        <w:ind w:left="5103"/>
        <w:jc w:val="both"/>
        <w:rPr>
          <w:szCs w:val="24"/>
        </w:rPr>
      </w:pPr>
    </w:p>
    <w:p w:rsidR="00FA50DE" w:rsidRDefault="00FA50DE">
      <w:pPr>
        <w:jc w:val="both"/>
        <w:rPr>
          <w:szCs w:val="24"/>
        </w:rPr>
      </w:pPr>
    </w:p>
    <w:p w:rsidR="00FA50DE" w:rsidRPr="00F2207B" w:rsidRDefault="00FA50DE">
      <w:pPr>
        <w:jc w:val="both"/>
        <w:rPr>
          <w:szCs w:val="24"/>
        </w:rPr>
      </w:pPr>
    </w:p>
    <w:sectPr w:rsidR="00FA50DE" w:rsidRPr="00F2207B" w:rsidSect="009B6A1C">
      <w:headerReference w:type="default" r:id="rId11"/>
      <w:footerReference w:type="default" r:id="rId12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BF" w:rsidRDefault="00EB7ABF">
      <w:r>
        <w:separator/>
      </w:r>
    </w:p>
  </w:endnote>
  <w:endnote w:type="continuationSeparator" w:id="0">
    <w:p w:rsidR="00EB7ABF" w:rsidRDefault="00EB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1C" w:rsidRPr="00F2207B" w:rsidRDefault="009B6A1C" w:rsidP="009B6A1C">
    <w:pPr>
      <w:pStyle w:val="Pieddepage"/>
      <w:spacing w:before="0" w:after="0"/>
      <w:rPr>
        <w:sz w:val="18"/>
        <w:szCs w:val="18"/>
        <w:lang w:val="en-US"/>
      </w:rPr>
    </w:pPr>
    <w:r w:rsidRPr="00F2207B">
      <w:rPr>
        <w:lang w:val="en-US"/>
      </w:rPr>
      <w:tab/>
    </w:r>
    <w:r w:rsidRPr="00F2207B">
      <w:rPr>
        <w:lang w:val="en-US"/>
      </w:rPr>
      <w:tab/>
    </w:r>
    <w:r w:rsidRPr="00F2207B">
      <w:rPr>
        <w:sz w:val="18"/>
        <w:szCs w:val="18"/>
        <w:lang w:val="en-US"/>
      </w:rPr>
      <w:t>Page </w:t>
    </w:r>
    <w:r>
      <w:rPr>
        <w:sz w:val="18"/>
        <w:szCs w:val="18"/>
      </w:rPr>
      <w:fldChar w:fldCharType="begin"/>
    </w:r>
    <w:r w:rsidRPr="00F2207B">
      <w:rPr>
        <w:sz w:val="18"/>
        <w:szCs w:val="18"/>
        <w:lang w:val="en-US"/>
      </w:rPr>
      <w:instrText xml:space="preserve"> PAGE   \* MERGEFORMAT </w:instrText>
    </w:r>
    <w:r>
      <w:rPr>
        <w:sz w:val="18"/>
        <w:szCs w:val="18"/>
      </w:rPr>
      <w:fldChar w:fldCharType="separate"/>
    </w:r>
    <w:r w:rsidR="00FD2EDC">
      <w:rPr>
        <w:noProof/>
        <w:sz w:val="18"/>
        <w:szCs w:val="18"/>
        <w:lang w:val="en-US"/>
      </w:rPr>
      <w:t>1</w:t>
    </w:r>
    <w:r>
      <w:rPr>
        <w:sz w:val="18"/>
        <w:szCs w:val="18"/>
      </w:rPr>
      <w:fldChar w:fldCharType="end"/>
    </w:r>
    <w:r w:rsidRPr="00F2207B">
      <w:rPr>
        <w:sz w:val="18"/>
        <w:szCs w:val="18"/>
        <w:lang w:val="en-US"/>
      </w:rPr>
      <w:t xml:space="preserve"> sur </w:t>
    </w:r>
    <w:r>
      <w:rPr>
        <w:sz w:val="18"/>
        <w:szCs w:val="18"/>
      </w:rPr>
      <w:fldChar w:fldCharType="begin"/>
    </w:r>
    <w:r w:rsidRPr="00F2207B">
      <w:rPr>
        <w:sz w:val="18"/>
        <w:szCs w:val="18"/>
        <w:lang w:val="en-US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D2EDC">
      <w:rPr>
        <w:noProof/>
        <w:sz w:val="18"/>
        <w:szCs w:val="18"/>
        <w:lang w:val="en-US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BF" w:rsidRDefault="00EB7ABF">
      <w:r>
        <w:separator/>
      </w:r>
    </w:p>
  </w:footnote>
  <w:footnote w:type="continuationSeparator" w:id="0">
    <w:p w:rsidR="00EB7ABF" w:rsidRDefault="00EB7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6" w:type="dxa"/>
      <w:tblInd w:w="-7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9"/>
      <w:gridCol w:w="7893"/>
      <w:gridCol w:w="1554"/>
    </w:tblGrid>
    <w:tr w:rsidR="00C44165" w:rsidRPr="00C44165" w:rsidTr="008B66EB">
      <w:trPr>
        <w:trHeight w:val="1483"/>
      </w:trPr>
      <w:tc>
        <w:tcPr>
          <w:tcW w:w="1429" w:type="dxa"/>
          <w:shd w:val="clear" w:color="auto" w:fill="auto"/>
        </w:tcPr>
        <w:p w:rsidR="00C44165" w:rsidRPr="00C44165" w:rsidRDefault="00C44165" w:rsidP="00C44165">
          <w:pPr>
            <w:pStyle w:val="En-tte"/>
            <w:jc w:val="center"/>
            <w:rPr>
              <w:rFonts w:ascii="Century Gothic" w:hAnsi="Century Gothic"/>
              <w:sz w:val="20"/>
              <w:szCs w:val="22"/>
            </w:rPr>
          </w:pPr>
        </w:p>
      </w:tc>
      <w:tc>
        <w:tcPr>
          <w:tcW w:w="7893" w:type="dxa"/>
          <w:shd w:val="clear" w:color="auto" w:fill="auto"/>
        </w:tcPr>
        <w:p w:rsidR="00C44165" w:rsidRPr="00C44165" w:rsidRDefault="00FD2EDC" w:rsidP="00C44165">
          <w:pPr>
            <w:pStyle w:val="En-tte"/>
            <w:jc w:val="center"/>
            <w:rPr>
              <w:rFonts w:ascii="Century Gothic" w:hAnsi="Century Gothic"/>
              <w:b/>
              <w:bCs/>
              <w:sz w:val="20"/>
              <w:szCs w:val="22"/>
            </w:rPr>
          </w:pPr>
          <w:r w:rsidRPr="00C44165">
            <w:rPr>
              <w:noProof/>
              <w:sz w:val="20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-167640</wp:posOffset>
                </wp:positionV>
                <wp:extent cx="749300" cy="762000"/>
                <wp:effectExtent l="0" t="0" r="0" b="0"/>
                <wp:wrapNone/>
                <wp:docPr id="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44165">
            <w:rPr>
              <w:noProof/>
              <w:sz w:val="20"/>
              <w:lang w:val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-243840</wp:posOffset>
                </wp:positionV>
                <wp:extent cx="825500" cy="838200"/>
                <wp:effectExtent l="0" t="0" r="0" b="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44165" w:rsidRPr="00C44165">
            <w:rPr>
              <w:rFonts w:ascii="Century Gothic" w:hAnsi="Century Gothic"/>
              <w:b/>
              <w:bCs/>
              <w:sz w:val="20"/>
              <w:szCs w:val="22"/>
            </w:rPr>
            <w:t>REPUBLIQUE DE GUINEE</w:t>
          </w:r>
        </w:p>
        <w:p w:rsidR="00C44165" w:rsidRPr="00C44165" w:rsidRDefault="00C44165" w:rsidP="00C44165">
          <w:pPr>
            <w:pStyle w:val="En-tte"/>
            <w:jc w:val="center"/>
            <w:rPr>
              <w:rFonts w:ascii="Century Gothic" w:hAnsi="Century Gothic"/>
              <w:sz w:val="20"/>
              <w:szCs w:val="22"/>
            </w:rPr>
          </w:pPr>
          <w:r w:rsidRPr="00C44165">
            <w:rPr>
              <w:rFonts w:ascii="Century Gothic" w:hAnsi="Century Gothic"/>
              <w:color w:val="FF0000"/>
              <w:sz w:val="20"/>
              <w:szCs w:val="22"/>
            </w:rPr>
            <w:t>Travail</w:t>
          </w:r>
          <w:r w:rsidRPr="00C44165">
            <w:rPr>
              <w:rFonts w:ascii="Century Gothic" w:hAnsi="Century Gothic"/>
              <w:sz w:val="20"/>
              <w:szCs w:val="22"/>
            </w:rPr>
            <w:t>-</w:t>
          </w:r>
          <w:r w:rsidRPr="00C44165">
            <w:rPr>
              <w:rFonts w:ascii="Century Gothic" w:hAnsi="Century Gothic"/>
              <w:color w:val="FFC000"/>
              <w:sz w:val="20"/>
              <w:szCs w:val="22"/>
            </w:rPr>
            <w:t>Justice</w:t>
          </w:r>
          <w:r w:rsidRPr="00C44165">
            <w:rPr>
              <w:rFonts w:ascii="Century Gothic" w:hAnsi="Century Gothic"/>
              <w:sz w:val="20"/>
              <w:szCs w:val="22"/>
            </w:rPr>
            <w:t>-</w:t>
          </w:r>
          <w:r w:rsidRPr="00C44165">
            <w:rPr>
              <w:rFonts w:ascii="Century Gothic" w:hAnsi="Century Gothic"/>
              <w:color w:val="00B050"/>
              <w:sz w:val="20"/>
              <w:szCs w:val="22"/>
            </w:rPr>
            <w:t>Solidarité</w:t>
          </w:r>
        </w:p>
        <w:p w:rsidR="00C44165" w:rsidRPr="00C44165" w:rsidRDefault="00C44165" w:rsidP="00C44165">
          <w:pPr>
            <w:pStyle w:val="En-tte"/>
            <w:spacing w:before="120" w:after="120"/>
            <w:jc w:val="center"/>
            <w:rPr>
              <w:rFonts w:ascii="Century Gothic" w:hAnsi="Century Gothic"/>
              <w:b/>
              <w:bCs/>
              <w:sz w:val="20"/>
              <w:szCs w:val="22"/>
            </w:rPr>
          </w:pPr>
          <w:r w:rsidRPr="00C44165">
            <w:rPr>
              <w:rFonts w:ascii="Century Gothic" w:hAnsi="Century Gothic"/>
              <w:b/>
              <w:bCs/>
              <w:sz w:val="20"/>
              <w:szCs w:val="22"/>
            </w:rPr>
            <w:t>MINISTERE DE LA SANTE</w:t>
          </w:r>
        </w:p>
        <w:p w:rsidR="00C44165" w:rsidRPr="00C44165" w:rsidRDefault="00C44165" w:rsidP="00C44165">
          <w:pPr>
            <w:pStyle w:val="En-tte"/>
            <w:jc w:val="center"/>
            <w:rPr>
              <w:rFonts w:ascii="Century Gothic" w:hAnsi="Century Gothic"/>
              <w:sz w:val="20"/>
              <w:szCs w:val="22"/>
            </w:rPr>
          </w:pPr>
          <w:r w:rsidRPr="00C44165">
            <w:rPr>
              <w:rFonts w:ascii="Century Gothic" w:hAnsi="Century Gothic"/>
              <w:b/>
              <w:bCs/>
              <w:sz w:val="20"/>
              <w:szCs w:val="22"/>
            </w:rPr>
            <w:t>UNITE D'APPUI A LA GESTION ET A LA COORDINATION DES PROGRAMMES (UAGCP)</w:t>
          </w:r>
        </w:p>
      </w:tc>
      <w:tc>
        <w:tcPr>
          <w:tcW w:w="1554" w:type="dxa"/>
          <w:shd w:val="clear" w:color="auto" w:fill="auto"/>
        </w:tcPr>
        <w:p w:rsidR="00C44165" w:rsidRPr="00C44165" w:rsidRDefault="00C44165" w:rsidP="00C44165">
          <w:pPr>
            <w:pStyle w:val="En-tte"/>
            <w:jc w:val="center"/>
            <w:rPr>
              <w:rFonts w:ascii="Century Gothic" w:hAnsi="Century Gothic"/>
              <w:sz w:val="20"/>
              <w:szCs w:val="22"/>
            </w:rPr>
          </w:pPr>
        </w:p>
      </w:tc>
    </w:tr>
  </w:tbl>
  <w:p w:rsidR="00C81557" w:rsidRPr="00C44165" w:rsidRDefault="00C81557" w:rsidP="00C81557">
    <w:pPr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F095A"/>
    <w:rsid w:val="000F6A13"/>
    <w:rsid w:val="001115FA"/>
    <w:rsid w:val="00122136"/>
    <w:rsid w:val="001327A2"/>
    <w:rsid w:val="001B4753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C488B"/>
    <w:rsid w:val="004E3FED"/>
    <w:rsid w:val="00507E67"/>
    <w:rsid w:val="005124A6"/>
    <w:rsid w:val="00512E2B"/>
    <w:rsid w:val="00513F4E"/>
    <w:rsid w:val="00544A57"/>
    <w:rsid w:val="00556E73"/>
    <w:rsid w:val="00557353"/>
    <w:rsid w:val="00570FBE"/>
    <w:rsid w:val="00581ACC"/>
    <w:rsid w:val="00591F79"/>
    <w:rsid w:val="00592E8C"/>
    <w:rsid w:val="005D2810"/>
    <w:rsid w:val="00664635"/>
    <w:rsid w:val="006675B9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812A6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32CB3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44165"/>
    <w:rsid w:val="00C81557"/>
    <w:rsid w:val="00CB4A89"/>
    <w:rsid w:val="00D035B7"/>
    <w:rsid w:val="00D0434A"/>
    <w:rsid w:val="00D1599D"/>
    <w:rsid w:val="00D72C33"/>
    <w:rsid w:val="00D7470E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B7ABF"/>
    <w:rsid w:val="00EC0328"/>
    <w:rsid w:val="00EC6ED8"/>
    <w:rsid w:val="00EF431F"/>
    <w:rsid w:val="00F06429"/>
    <w:rsid w:val="00F213C9"/>
    <w:rsid w:val="00F2207B"/>
    <w:rsid w:val="00F25208"/>
    <w:rsid w:val="00F34282"/>
    <w:rsid w:val="00F568CA"/>
    <w:rsid w:val="00FA382A"/>
    <w:rsid w:val="00FA3AB8"/>
    <w:rsid w:val="00FA50DE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EB20E0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Accentuation">
    <w:name w:val="Emphasis"/>
    <w:qFormat/>
    <w:rPr>
      <w:i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asduformulaire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paragraph" w:styleId="z-Hautduformulaire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lev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En-tte">
    <w:name w:val="header"/>
    <w:basedOn w:val="Normal"/>
    <w:link w:val="En-tteCar"/>
    <w:uiPriority w:val="99"/>
    <w:rsid w:val="003101B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101B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A1E7B"/>
  </w:style>
  <w:style w:type="paragraph" w:styleId="Textedebulles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512E2B"/>
    <w:rPr>
      <w:sz w:val="20"/>
    </w:rPr>
  </w:style>
  <w:style w:type="character" w:customStyle="1" w:styleId="NotedebasdepageCar">
    <w:name w:val="Note de bas de page Car"/>
    <w:link w:val="Notedebasdepage"/>
    <w:rsid w:val="00512E2B"/>
    <w:rPr>
      <w:snapToGrid w:val="0"/>
      <w:lang w:val="fr-FR" w:eastAsia="en-US"/>
    </w:rPr>
  </w:style>
  <w:style w:type="character" w:styleId="Appelnotedebasdep">
    <w:name w:val="footnote reference"/>
    <w:rsid w:val="00512E2B"/>
    <w:rPr>
      <w:vertAlign w:val="superscript"/>
    </w:rPr>
  </w:style>
  <w:style w:type="character" w:styleId="Marquedecommentaire">
    <w:name w:val="annotation reference"/>
    <w:rsid w:val="003E07F2"/>
    <w:rPr>
      <w:sz w:val="16"/>
      <w:szCs w:val="16"/>
    </w:rPr>
  </w:style>
  <w:style w:type="paragraph" w:styleId="Commentaire">
    <w:name w:val="annotation text"/>
    <w:basedOn w:val="Normal"/>
    <w:link w:val="CommentaireCar"/>
    <w:rsid w:val="003E07F2"/>
    <w:rPr>
      <w:sz w:val="20"/>
    </w:rPr>
  </w:style>
  <w:style w:type="character" w:customStyle="1" w:styleId="CommentaireCar">
    <w:name w:val="Commentaire Car"/>
    <w:link w:val="Commentaire"/>
    <w:rsid w:val="003E07F2"/>
    <w:rPr>
      <w:snapToGrid w:val="0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3E07F2"/>
    <w:rPr>
      <w:b/>
      <w:bCs/>
    </w:rPr>
  </w:style>
  <w:style w:type="character" w:customStyle="1" w:styleId="ObjetducommentaireCar">
    <w:name w:val="Objet du commentaire Car"/>
    <w:link w:val="Objetducommentaire"/>
    <w:rsid w:val="003E07F2"/>
    <w:rPr>
      <w:b/>
      <w:bCs/>
      <w:snapToGrid w:val="0"/>
      <w:lang w:val="fr-FR" w:eastAsia="en-US"/>
    </w:rPr>
  </w:style>
  <w:style w:type="character" w:customStyle="1" w:styleId="PieddepageCar">
    <w:name w:val="Pied de page Car"/>
    <w:link w:val="Pieddepage"/>
    <w:rsid w:val="009B6A1C"/>
    <w:rPr>
      <w:snapToGrid w:val="0"/>
      <w:sz w:val="24"/>
      <w:lang w:val="fr-FR" w:eastAsia="en-US"/>
    </w:rPr>
  </w:style>
  <w:style w:type="paragraph" w:styleId="Sous-titre">
    <w:name w:val="Subtitle"/>
    <w:basedOn w:val="Normal"/>
    <w:link w:val="Sous-titreC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</w:rPr>
  </w:style>
  <w:style w:type="character" w:customStyle="1" w:styleId="Sous-titreCar">
    <w:name w:val="Sous-titre Car"/>
    <w:basedOn w:val="Policepardfaut"/>
    <w:link w:val="Sous-titre"/>
    <w:rsid w:val="00EC6ED8"/>
    <w:rPr>
      <w:rFonts w:ascii="Arial" w:hAnsi="Arial"/>
      <w:b/>
      <w:snapToGrid w:val="0"/>
      <w:sz w:val="28"/>
      <w:lang w:eastAsia="en-US"/>
    </w:rPr>
  </w:style>
  <w:style w:type="character" w:customStyle="1" w:styleId="En-tteCar">
    <w:name w:val="En-tête Car"/>
    <w:link w:val="En-tte"/>
    <w:uiPriority w:val="99"/>
    <w:rsid w:val="00C44165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FBCC-D94B-4F36-B55F-2FB4768E22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103889-7D3D-4603-B497-1EE6F5419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41F40-CF85-46A7-A314-AE77A8B50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4FD562-E46C-4119-9B5F-B59A75C9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A5 cancellation</vt:lpstr>
      <vt:lpstr>A5 cancellation</vt:lpstr>
    </vt:vector>
  </TitlesOfParts>
  <Company>European Commission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"Matthieu MUTEBA" &lt;mmuteba@2ac.fr&gt;</dc:creator>
  <cp:keywords/>
  <cp:lastModifiedBy>Matthieu</cp:lastModifiedBy>
  <cp:revision>2</cp:revision>
  <cp:lastPrinted>2013-12-16T10:49:00Z</cp:lastPrinted>
  <dcterms:created xsi:type="dcterms:W3CDTF">2023-08-02T15:52:00Z</dcterms:created>
  <dcterms:modified xsi:type="dcterms:W3CDTF">2023-08-02T15:52:00Z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  <property fmtid="{D5CDD505-2E9C-101B-9397-08002B2CF9AE}" pid="4" name="ContentTypeId">
    <vt:lpwstr>0x010100724FDE23FB365D4CB8B2901107175F9F</vt:lpwstr>
  </property>
</Properties>
</file>